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ED646" w14:textId="67993E32" w:rsidR="00CA21A9" w:rsidRDefault="00CA21A9" w:rsidP="00F5406B">
      <w:pPr>
        <w:jc w:val="center"/>
        <w:rPr>
          <w:rFonts w:ascii="Times New Roman" w:hAnsi="Times New Roman" w:cs="Times New Roman"/>
          <w:b/>
          <w:i/>
          <w:sz w:val="28"/>
          <w:szCs w:val="24"/>
        </w:rPr>
      </w:pPr>
      <w:r w:rsidRPr="00CA21A9">
        <w:rPr>
          <w:rFonts w:ascii="Times New Roman" w:hAnsi="Times New Roman" w:cs="Times New Roman"/>
          <w:b/>
          <w:i/>
          <w:sz w:val="28"/>
          <w:szCs w:val="24"/>
        </w:rPr>
        <w:t>DRAFT – PLEASE DO NOT DIS</w:t>
      </w:r>
      <w:bookmarkStart w:id="0" w:name="_GoBack"/>
      <w:bookmarkEnd w:id="0"/>
      <w:r w:rsidRPr="00CA21A9">
        <w:rPr>
          <w:rFonts w:ascii="Times New Roman" w:hAnsi="Times New Roman" w:cs="Times New Roman"/>
          <w:b/>
          <w:i/>
          <w:sz w:val="28"/>
          <w:szCs w:val="24"/>
        </w:rPr>
        <w:t>SEMINATE</w:t>
      </w:r>
    </w:p>
    <w:p w14:paraId="7CF3EB56" w14:textId="77777777" w:rsidR="00CA21A9" w:rsidRPr="00CA21A9" w:rsidRDefault="00CA21A9" w:rsidP="00F5406B">
      <w:pPr>
        <w:jc w:val="center"/>
        <w:rPr>
          <w:rFonts w:ascii="Times New Roman" w:hAnsi="Times New Roman" w:cs="Times New Roman"/>
          <w:b/>
          <w:i/>
          <w:sz w:val="28"/>
          <w:szCs w:val="24"/>
        </w:rPr>
      </w:pPr>
    </w:p>
    <w:p w14:paraId="55A1125B" w14:textId="1C15BEB1" w:rsidR="00F5406B" w:rsidRDefault="00F5406B" w:rsidP="00F5406B">
      <w:pPr>
        <w:jc w:val="center"/>
        <w:rPr>
          <w:rFonts w:ascii="Times New Roman" w:hAnsi="Times New Roman" w:cs="Times New Roman"/>
          <w:b/>
          <w:sz w:val="28"/>
          <w:szCs w:val="24"/>
        </w:rPr>
      </w:pPr>
      <w:r>
        <w:rPr>
          <w:rFonts w:ascii="Times New Roman" w:hAnsi="Times New Roman" w:cs="Times New Roman"/>
          <w:b/>
          <w:sz w:val="28"/>
          <w:szCs w:val="24"/>
        </w:rPr>
        <w:t xml:space="preserve">Knowledge Controversy in Calculable Spaces: Valuation Practices and the Market of Indicators in Global Poverty Measurement </w:t>
      </w:r>
    </w:p>
    <w:p w14:paraId="094154D6" w14:textId="6A77A03B" w:rsidR="00CA21A9" w:rsidRDefault="00CA21A9" w:rsidP="00F5406B">
      <w:pPr>
        <w:jc w:val="center"/>
        <w:rPr>
          <w:rFonts w:ascii="Times New Roman" w:hAnsi="Times New Roman" w:cs="Times New Roman"/>
          <w:b/>
          <w:sz w:val="24"/>
          <w:szCs w:val="24"/>
        </w:rPr>
      </w:pPr>
      <w:r>
        <w:rPr>
          <w:rFonts w:ascii="Times New Roman" w:hAnsi="Times New Roman" w:cs="Times New Roman"/>
          <w:b/>
          <w:sz w:val="24"/>
          <w:szCs w:val="24"/>
        </w:rPr>
        <w:t>Justyna Bandola-Gill, University of Edinburgh</w:t>
      </w:r>
    </w:p>
    <w:p w14:paraId="0A4AE774" w14:textId="4F81658C" w:rsidR="00CA21A9" w:rsidRPr="00CA21A9" w:rsidRDefault="00CA21A9" w:rsidP="00F5406B">
      <w:pPr>
        <w:jc w:val="center"/>
        <w:rPr>
          <w:rFonts w:ascii="Times New Roman" w:hAnsi="Times New Roman" w:cs="Times New Roman"/>
          <w:b/>
          <w:sz w:val="24"/>
          <w:szCs w:val="24"/>
        </w:rPr>
      </w:pPr>
      <w:r>
        <w:rPr>
          <w:rFonts w:ascii="Times New Roman" w:hAnsi="Times New Roman" w:cs="Times New Roman"/>
          <w:b/>
          <w:sz w:val="24"/>
          <w:szCs w:val="24"/>
        </w:rPr>
        <w:t>Matteo Ronzani, University of Manchester</w:t>
      </w:r>
    </w:p>
    <w:p w14:paraId="0FAF4D82" w14:textId="2DB07075" w:rsidR="00F5406B" w:rsidRDefault="00F5406B" w:rsidP="00F5406B">
      <w:pPr>
        <w:rPr>
          <w:rFonts w:ascii="Times New Roman" w:hAnsi="Times New Roman" w:cs="Times New Roman"/>
          <w:b/>
          <w:sz w:val="24"/>
          <w:szCs w:val="24"/>
        </w:rPr>
      </w:pPr>
    </w:p>
    <w:p w14:paraId="533D3BDB" w14:textId="77777777" w:rsidR="00F5406B" w:rsidRDefault="00F5406B" w:rsidP="00F5406B">
      <w:pPr>
        <w:jc w:val="both"/>
        <w:rPr>
          <w:rFonts w:ascii="Times New Roman" w:hAnsi="Times New Roman" w:cs="Times New Roman"/>
          <w:b/>
          <w:sz w:val="24"/>
          <w:szCs w:val="24"/>
        </w:rPr>
      </w:pPr>
      <w:r>
        <w:rPr>
          <w:rFonts w:ascii="Times New Roman" w:hAnsi="Times New Roman" w:cs="Times New Roman"/>
          <w:b/>
          <w:sz w:val="24"/>
          <w:szCs w:val="24"/>
        </w:rPr>
        <w:t>Abstract</w:t>
      </w:r>
    </w:p>
    <w:p w14:paraId="6F2E3345" w14:textId="5395872F" w:rsidR="00F5406B" w:rsidRDefault="00F5406B" w:rsidP="00F5406B">
      <w:pPr>
        <w:jc w:val="both"/>
        <w:rPr>
          <w:rFonts w:ascii="Times New Roman" w:hAnsi="Times New Roman" w:cs="Times New Roman"/>
          <w:sz w:val="24"/>
          <w:szCs w:val="24"/>
        </w:rPr>
      </w:pPr>
      <w:r>
        <w:rPr>
          <w:rFonts w:ascii="Times New Roman" w:hAnsi="Times New Roman" w:cs="Times New Roman"/>
          <w:sz w:val="24"/>
          <w:szCs w:val="24"/>
        </w:rPr>
        <w:t>Recent decades have witnessed the rise of quantification as the central way in which global spaces are known and governed.</w:t>
      </w:r>
      <w:r w:rsidR="00B55D1A">
        <w:rPr>
          <w:rFonts w:ascii="Times New Roman" w:hAnsi="Times New Roman" w:cs="Times New Roman"/>
          <w:sz w:val="24"/>
          <w:szCs w:val="24"/>
        </w:rPr>
        <w:t xml:space="preserve"> The growing number of both indicators and their producers</w:t>
      </w:r>
      <w:r>
        <w:rPr>
          <w:rFonts w:ascii="Times New Roman" w:hAnsi="Times New Roman" w:cs="Times New Roman"/>
          <w:sz w:val="24"/>
          <w:szCs w:val="24"/>
        </w:rPr>
        <w:t xml:space="preserve"> </w:t>
      </w:r>
      <w:r w:rsidR="00B55D1A">
        <w:rPr>
          <w:rFonts w:ascii="Times New Roman" w:hAnsi="Times New Roman" w:cs="Times New Roman"/>
          <w:sz w:val="24"/>
          <w:szCs w:val="24"/>
        </w:rPr>
        <w:t>has generated</w:t>
      </w:r>
      <w:r>
        <w:rPr>
          <w:rFonts w:ascii="Times New Roman" w:hAnsi="Times New Roman" w:cs="Times New Roman"/>
          <w:sz w:val="24"/>
          <w:szCs w:val="24"/>
        </w:rPr>
        <w:t xml:space="preserve"> situations in which</w:t>
      </w:r>
      <w:r w:rsidR="0034302F">
        <w:rPr>
          <w:rFonts w:ascii="Times New Roman" w:hAnsi="Times New Roman" w:cs="Times New Roman"/>
          <w:sz w:val="24"/>
          <w:szCs w:val="24"/>
        </w:rPr>
        <w:t xml:space="preserve"> multiple metrics of</w:t>
      </w:r>
      <w:r w:rsidR="005E0EA1">
        <w:rPr>
          <w:rFonts w:ascii="Times New Roman" w:hAnsi="Times New Roman" w:cs="Times New Roman"/>
          <w:sz w:val="24"/>
          <w:szCs w:val="24"/>
        </w:rPr>
        <w:t xml:space="preserve"> similar phenomena are in competition with each other.</w:t>
      </w:r>
      <w:r>
        <w:rPr>
          <w:rFonts w:ascii="Times New Roman" w:hAnsi="Times New Roman"/>
          <w:sz w:val="24"/>
        </w:rPr>
        <w:t xml:space="preserve"> </w:t>
      </w:r>
      <w:r>
        <w:rPr>
          <w:rFonts w:ascii="Times New Roman" w:hAnsi="Times New Roman" w:cs="Times New Roman"/>
          <w:sz w:val="24"/>
          <w:szCs w:val="24"/>
        </w:rPr>
        <w:t>Combini</w:t>
      </w:r>
      <w:r w:rsidR="0034302F">
        <w:rPr>
          <w:rFonts w:ascii="Times New Roman" w:hAnsi="Times New Roman" w:cs="Times New Roman"/>
          <w:sz w:val="24"/>
          <w:szCs w:val="24"/>
        </w:rPr>
        <w:t>ng the literature in STS and</w:t>
      </w:r>
      <w:r>
        <w:rPr>
          <w:rFonts w:ascii="Times New Roman" w:hAnsi="Times New Roman" w:cs="Times New Roman"/>
          <w:sz w:val="24"/>
          <w:szCs w:val="24"/>
        </w:rPr>
        <w:t xml:space="preserve"> sociology of valuation, the paper theorises this competition in terms of a knowledge controversy over numerical practices. Building on a comparative study on the production of poverty indicators in the World Bank, UNDP, and UNICEF, the paper details the struggles ov</w:t>
      </w:r>
      <w:r w:rsidR="00CD7292">
        <w:rPr>
          <w:rFonts w:ascii="Times New Roman" w:hAnsi="Times New Roman" w:cs="Times New Roman"/>
          <w:sz w:val="24"/>
          <w:szCs w:val="24"/>
        </w:rPr>
        <w:t>er measurement</w:t>
      </w:r>
      <w:r>
        <w:rPr>
          <w:rFonts w:ascii="Times New Roman" w:hAnsi="Times New Roman" w:cs="Times New Roman"/>
          <w:sz w:val="24"/>
          <w:szCs w:val="24"/>
        </w:rPr>
        <w:t>, foregrounding their org</w:t>
      </w:r>
      <w:r w:rsidR="001F32B5">
        <w:rPr>
          <w:rFonts w:ascii="Times New Roman" w:hAnsi="Times New Roman" w:cs="Times New Roman"/>
          <w:sz w:val="24"/>
          <w:szCs w:val="24"/>
        </w:rPr>
        <w:t>anizational implications. In this</w:t>
      </w:r>
      <w:r>
        <w:rPr>
          <w:rFonts w:ascii="Times New Roman" w:hAnsi="Times New Roman" w:cs="Times New Roman"/>
          <w:sz w:val="24"/>
          <w:szCs w:val="24"/>
        </w:rPr>
        <w:t xml:space="preserve"> case, the multiplicity of competing measures leads to the emergence of a ‘market of indicators’ in which International Organizations have to actively create, communicate, and advocate for their measures to increase their perceived epistemic, political, and strategic value. The paper makes two contributions. First, it develops the notion of ‘governing by controversy’ and theorizes the generative power of knowledge controversies in terms of their market-making capacity. Second, it adds to the sociology of valuation theorizing how </w:t>
      </w:r>
      <w:r>
        <w:rPr>
          <w:rFonts w:ascii="Times New Roman" w:hAnsi="Times New Roman"/>
          <w:sz w:val="24"/>
        </w:rPr>
        <w:t>knowledge controversies</w:t>
      </w:r>
      <w:r>
        <w:rPr>
          <w:rFonts w:ascii="Times New Roman" w:hAnsi="Times New Roman" w:cs="Times New Roman"/>
          <w:sz w:val="24"/>
          <w:szCs w:val="24"/>
        </w:rPr>
        <w:t xml:space="preserve"> can stimulate organizations to refine their measurement practices and search for innovative forms of knowledge production, thereby operating as ‘engines </w:t>
      </w:r>
      <w:r w:rsidR="00224AC2">
        <w:rPr>
          <w:rFonts w:ascii="Times New Roman" w:hAnsi="Times New Roman" w:cs="Times New Roman"/>
          <w:sz w:val="24"/>
          <w:szCs w:val="24"/>
        </w:rPr>
        <w:t>of</w:t>
      </w:r>
      <w:r>
        <w:rPr>
          <w:rFonts w:ascii="Times New Roman" w:hAnsi="Times New Roman" w:cs="Times New Roman"/>
          <w:sz w:val="24"/>
          <w:szCs w:val="24"/>
        </w:rPr>
        <w:t xml:space="preserve"> valuation’. </w:t>
      </w:r>
    </w:p>
    <w:p w14:paraId="5A71E1CA" w14:textId="77777777" w:rsidR="00F5406B" w:rsidRDefault="00F5406B" w:rsidP="00F5406B">
      <w:pPr>
        <w:jc w:val="both"/>
        <w:rPr>
          <w:rFonts w:ascii="Times New Roman" w:hAnsi="Times New Roman" w:cs="Times New Roman"/>
          <w:sz w:val="24"/>
          <w:szCs w:val="24"/>
        </w:rPr>
      </w:pPr>
    </w:p>
    <w:p w14:paraId="5DEFE8CF" w14:textId="77777777" w:rsidR="00F5406B" w:rsidRDefault="00F5406B" w:rsidP="00F5406B">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Knowledge controversy; valuation; global governance; quantification; poverty measurement; SDG.</w:t>
      </w:r>
    </w:p>
    <w:p w14:paraId="0EAC9326" w14:textId="166E5F46" w:rsidR="00F5406B" w:rsidRDefault="00F5406B">
      <w:pPr>
        <w:rPr>
          <w:rFonts w:ascii="Times New Roman" w:hAnsi="Times New Roman" w:cs="Times New Roman"/>
          <w:b/>
          <w:sz w:val="24"/>
          <w:szCs w:val="24"/>
        </w:rPr>
      </w:pPr>
      <w:r>
        <w:rPr>
          <w:rFonts w:ascii="Times New Roman" w:hAnsi="Times New Roman" w:cs="Times New Roman"/>
          <w:b/>
          <w:sz w:val="24"/>
          <w:szCs w:val="24"/>
        </w:rPr>
        <w:br w:type="page"/>
      </w:r>
    </w:p>
    <w:p w14:paraId="5B9ACA3B" w14:textId="77777777" w:rsidR="00E334FD" w:rsidRPr="008C597C" w:rsidRDefault="00E334FD" w:rsidP="00E334FD">
      <w:pPr>
        <w:pStyle w:val="ListParagraph"/>
        <w:numPr>
          <w:ilvl w:val="0"/>
          <w:numId w:val="1"/>
        </w:numPr>
        <w:rPr>
          <w:rFonts w:ascii="Times New Roman" w:hAnsi="Times New Roman" w:cs="Times New Roman"/>
          <w:b/>
          <w:sz w:val="24"/>
          <w:szCs w:val="24"/>
        </w:rPr>
      </w:pPr>
      <w:r w:rsidRPr="008C597C">
        <w:rPr>
          <w:rFonts w:ascii="Times New Roman" w:hAnsi="Times New Roman" w:cs="Times New Roman"/>
          <w:b/>
          <w:sz w:val="24"/>
          <w:szCs w:val="24"/>
        </w:rPr>
        <w:lastRenderedPageBreak/>
        <w:t>Introduction</w:t>
      </w:r>
    </w:p>
    <w:p w14:paraId="5C4D24E1" w14:textId="132E83AB" w:rsidR="00E334FD" w:rsidRDefault="00E334FD" w:rsidP="00E334FD">
      <w:pPr>
        <w:spacing w:line="360" w:lineRule="auto"/>
        <w:jc w:val="both"/>
        <w:rPr>
          <w:rFonts w:ascii="Times New Roman" w:hAnsi="Times New Roman" w:cs="Times New Roman"/>
          <w:sz w:val="24"/>
          <w:szCs w:val="24"/>
        </w:rPr>
      </w:pPr>
      <w:r w:rsidRPr="00106BD7">
        <w:rPr>
          <w:rFonts w:ascii="Times New Roman" w:hAnsi="Times New Roman" w:cs="Times New Roman"/>
          <w:sz w:val="24"/>
          <w:szCs w:val="24"/>
        </w:rPr>
        <w:t>The</w:t>
      </w:r>
      <w:r>
        <w:rPr>
          <w:rFonts w:ascii="Times New Roman" w:hAnsi="Times New Roman" w:cs="Times New Roman"/>
          <w:sz w:val="24"/>
          <w:szCs w:val="24"/>
        </w:rPr>
        <w:t xml:space="preserve"> recent decades </w:t>
      </w:r>
      <w:r w:rsidR="00CC07F9">
        <w:rPr>
          <w:rFonts w:ascii="Times New Roman" w:hAnsi="Times New Roman" w:cs="Times New Roman"/>
          <w:sz w:val="24"/>
          <w:szCs w:val="24"/>
        </w:rPr>
        <w:t xml:space="preserve">have </w:t>
      </w:r>
      <w:r>
        <w:rPr>
          <w:rFonts w:ascii="Times New Roman" w:hAnsi="Times New Roman" w:cs="Times New Roman"/>
          <w:sz w:val="24"/>
          <w:szCs w:val="24"/>
        </w:rPr>
        <w:t>witnessed the</w:t>
      </w:r>
      <w:r w:rsidRPr="00106BD7">
        <w:rPr>
          <w:rFonts w:ascii="Times New Roman" w:hAnsi="Times New Roman" w:cs="Times New Roman"/>
          <w:sz w:val="24"/>
          <w:szCs w:val="24"/>
        </w:rPr>
        <w:t xml:space="preserve"> rise of indicators as the key governing technologies in the global spaces responding to increasing demand</w:t>
      </w:r>
      <w:r>
        <w:rPr>
          <w:rFonts w:ascii="Times New Roman" w:hAnsi="Times New Roman" w:cs="Times New Roman"/>
          <w:sz w:val="24"/>
          <w:szCs w:val="24"/>
        </w:rPr>
        <w:t>s</w:t>
      </w:r>
      <w:r w:rsidRPr="00106BD7">
        <w:rPr>
          <w:rFonts w:ascii="Times New Roman" w:hAnsi="Times New Roman" w:cs="Times New Roman"/>
          <w:sz w:val="24"/>
          <w:szCs w:val="24"/>
        </w:rPr>
        <w:t xml:space="preserve"> for “readily comparable and accessible knowledge” (Rottenburg et al., 2015, p.2).</w:t>
      </w:r>
      <w:r>
        <w:rPr>
          <w:rFonts w:ascii="Times New Roman" w:hAnsi="Times New Roman" w:cs="Times New Roman"/>
          <w:sz w:val="24"/>
          <w:szCs w:val="24"/>
        </w:rPr>
        <w:t xml:space="preserve"> </w:t>
      </w:r>
      <w:r w:rsidRPr="000340AF">
        <w:rPr>
          <w:rFonts w:ascii="Times New Roman" w:hAnsi="Times New Roman" w:cs="Times New Roman"/>
          <w:sz w:val="24"/>
          <w:szCs w:val="24"/>
        </w:rPr>
        <w:t xml:space="preserve">Indicators seem to fit to these epistemic needs. </w:t>
      </w:r>
      <w:r w:rsidR="00484205" w:rsidRPr="00106BD7">
        <w:rPr>
          <w:rFonts w:ascii="Times New Roman" w:hAnsi="Times New Roman" w:cs="Times New Roman"/>
          <w:sz w:val="24"/>
          <w:szCs w:val="24"/>
        </w:rPr>
        <w:t>Normally</w:t>
      </w:r>
      <w:r w:rsidRPr="00106BD7">
        <w:rPr>
          <w:rFonts w:ascii="Times New Roman" w:hAnsi="Times New Roman" w:cs="Times New Roman"/>
          <w:sz w:val="24"/>
          <w:szCs w:val="24"/>
        </w:rPr>
        <w:t xml:space="preserve">, indicators for global governance are </w:t>
      </w:r>
      <w:r>
        <w:rPr>
          <w:rFonts w:ascii="Times New Roman" w:hAnsi="Times New Roman" w:cs="Times New Roman"/>
          <w:sz w:val="24"/>
          <w:szCs w:val="24"/>
        </w:rPr>
        <w:t xml:space="preserve">simplified numerical representations of complex social justice and environmental problems that are </w:t>
      </w:r>
      <w:r w:rsidRPr="00106BD7">
        <w:rPr>
          <w:rFonts w:ascii="Times New Roman" w:hAnsi="Times New Roman" w:cs="Times New Roman"/>
          <w:sz w:val="24"/>
          <w:szCs w:val="24"/>
        </w:rPr>
        <w:t>based on mathematical aggregations of</w:t>
      </w:r>
      <w:r>
        <w:rPr>
          <w:rFonts w:ascii="Times New Roman" w:hAnsi="Times New Roman" w:cs="Times New Roman"/>
          <w:sz w:val="24"/>
          <w:szCs w:val="24"/>
        </w:rPr>
        <w:t xml:space="preserve"> historical</w:t>
      </w:r>
      <w:r w:rsidRPr="00106BD7">
        <w:rPr>
          <w:rFonts w:ascii="Times New Roman" w:hAnsi="Times New Roman" w:cs="Times New Roman"/>
          <w:sz w:val="24"/>
          <w:szCs w:val="24"/>
        </w:rPr>
        <w:t xml:space="preserve"> measurements </w:t>
      </w:r>
      <w:r>
        <w:rPr>
          <w:rFonts w:ascii="Times New Roman" w:hAnsi="Times New Roman" w:cs="Times New Roman"/>
          <w:sz w:val="24"/>
          <w:szCs w:val="24"/>
        </w:rPr>
        <w:t>and</w:t>
      </w:r>
      <w:r w:rsidRPr="00106BD7">
        <w:rPr>
          <w:rFonts w:ascii="Times New Roman" w:hAnsi="Times New Roman" w:cs="Times New Roman"/>
          <w:sz w:val="24"/>
          <w:szCs w:val="24"/>
        </w:rPr>
        <w:t xml:space="preserve"> enable to draw some conclusions </w:t>
      </w:r>
      <w:r>
        <w:rPr>
          <w:rFonts w:ascii="Times New Roman" w:hAnsi="Times New Roman" w:cs="Times New Roman"/>
          <w:sz w:val="24"/>
          <w:szCs w:val="24"/>
        </w:rPr>
        <w:t>to monitor, assess, and promote specific goals (Porter, 1995; Desroisères, 2015).</w:t>
      </w:r>
      <w:r w:rsidRPr="00106BD7">
        <w:rPr>
          <w:rFonts w:ascii="Times New Roman" w:hAnsi="Times New Roman" w:cs="Times New Roman"/>
          <w:sz w:val="24"/>
          <w:szCs w:val="24"/>
        </w:rPr>
        <w:t xml:space="preserve"> </w:t>
      </w:r>
      <w:r>
        <w:rPr>
          <w:rFonts w:ascii="Times New Roman" w:hAnsi="Times New Roman" w:cs="Times New Roman"/>
          <w:sz w:val="24"/>
          <w:szCs w:val="24"/>
        </w:rPr>
        <w:t>T</w:t>
      </w:r>
      <w:r w:rsidRPr="00106BD7">
        <w:rPr>
          <w:rFonts w:ascii="Times New Roman" w:hAnsi="Times New Roman" w:cs="Times New Roman"/>
          <w:sz w:val="24"/>
          <w:szCs w:val="24"/>
        </w:rPr>
        <w:t xml:space="preserve">he production of indicators </w:t>
      </w:r>
      <w:r>
        <w:rPr>
          <w:rFonts w:ascii="Times New Roman" w:hAnsi="Times New Roman" w:cs="Times New Roman"/>
          <w:sz w:val="24"/>
          <w:szCs w:val="24"/>
        </w:rPr>
        <w:t>is key</w:t>
      </w:r>
      <w:r w:rsidRPr="00106BD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106BD7">
        <w:rPr>
          <w:rFonts w:ascii="Times New Roman" w:hAnsi="Times New Roman" w:cs="Times New Roman"/>
          <w:sz w:val="24"/>
          <w:szCs w:val="24"/>
        </w:rPr>
        <w:t>enacting scientific expertise (Eyal &amp; Levy, 2013) and promoting evidence-based approaches to dealing wi</w:t>
      </w:r>
      <w:r>
        <w:rPr>
          <w:rFonts w:ascii="Times New Roman" w:hAnsi="Times New Roman" w:cs="Times New Roman"/>
          <w:sz w:val="24"/>
          <w:szCs w:val="24"/>
        </w:rPr>
        <w:t xml:space="preserve">th social, </w:t>
      </w:r>
      <w:r w:rsidRPr="00106BD7">
        <w:rPr>
          <w:rFonts w:ascii="Times New Roman" w:hAnsi="Times New Roman" w:cs="Times New Roman"/>
          <w:sz w:val="24"/>
          <w:szCs w:val="24"/>
        </w:rPr>
        <w:t>political</w:t>
      </w:r>
      <w:r>
        <w:rPr>
          <w:rFonts w:ascii="Times New Roman" w:hAnsi="Times New Roman" w:cs="Times New Roman"/>
          <w:sz w:val="24"/>
          <w:szCs w:val="24"/>
        </w:rPr>
        <w:t>, and environmental</w:t>
      </w:r>
      <w:r w:rsidRPr="00106BD7">
        <w:rPr>
          <w:rFonts w:ascii="Times New Roman" w:hAnsi="Times New Roman" w:cs="Times New Roman"/>
          <w:sz w:val="24"/>
          <w:szCs w:val="24"/>
        </w:rPr>
        <w:t xml:space="preserve"> proble</w:t>
      </w:r>
      <w:r>
        <w:rPr>
          <w:rFonts w:ascii="Times New Roman" w:hAnsi="Times New Roman" w:cs="Times New Roman"/>
          <w:sz w:val="24"/>
          <w:szCs w:val="24"/>
        </w:rPr>
        <w:t>ms (</w:t>
      </w:r>
      <w:r w:rsidR="00A54CB2">
        <w:rPr>
          <w:rFonts w:ascii="Times New Roman" w:hAnsi="Times New Roman" w:cs="Times New Roman"/>
          <w:sz w:val="24"/>
          <w:szCs w:val="24"/>
        </w:rPr>
        <w:t>Merry, 2011</w:t>
      </w:r>
      <w:r w:rsidRPr="00106BD7">
        <w:rPr>
          <w:rFonts w:ascii="Times New Roman" w:hAnsi="Times New Roman" w:cs="Times New Roman"/>
          <w:sz w:val="24"/>
          <w:szCs w:val="24"/>
        </w:rPr>
        <w:t xml:space="preserve">). This paradigm of global governance is best exemplified by the introduction of </w:t>
      </w:r>
      <w:r>
        <w:rPr>
          <w:rFonts w:ascii="Times New Roman" w:hAnsi="Times New Roman" w:cs="Times New Roman"/>
          <w:sz w:val="24"/>
          <w:szCs w:val="24"/>
        </w:rPr>
        <w:t xml:space="preserve">the </w:t>
      </w:r>
      <w:r w:rsidRPr="00106BD7">
        <w:rPr>
          <w:rFonts w:ascii="Times New Roman" w:hAnsi="Times New Roman" w:cs="Times New Roman"/>
          <w:sz w:val="24"/>
          <w:szCs w:val="24"/>
        </w:rPr>
        <w:t>Sustainable Development Goals (SDGs) in 2015, with their complex reporting system of indicators organised within specific targets and goals that comprises a total of 247 indicators.</w:t>
      </w:r>
      <w:r>
        <w:rPr>
          <w:rFonts w:ascii="Times New Roman" w:hAnsi="Times New Roman" w:cs="Times New Roman"/>
          <w:sz w:val="24"/>
          <w:szCs w:val="24"/>
        </w:rPr>
        <w:t xml:space="preserve"> The </w:t>
      </w:r>
      <w:r w:rsidRPr="000340AF">
        <w:rPr>
          <w:rFonts w:ascii="Times New Roman" w:hAnsi="Times New Roman" w:cs="Times New Roman"/>
          <w:sz w:val="24"/>
          <w:szCs w:val="24"/>
        </w:rPr>
        <w:t xml:space="preserve">broadening and deepening </w:t>
      </w:r>
      <w:r>
        <w:rPr>
          <w:rFonts w:ascii="Times New Roman" w:hAnsi="Times New Roman" w:cs="Times New Roman"/>
          <w:sz w:val="24"/>
          <w:szCs w:val="24"/>
        </w:rPr>
        <w:t>of the indicators’ global coverage has, in some policy areas, resulted in a multiplicity of often competing indicators measuring similar phenomena</w:t>
      </w:r>
      <w:r w:rsidRPr="008C597C">
        <w:rPr>
          <w:rFonts w:ascii="Times New Roman" w:hAnsi="Times New Roman" w:cs="Times New Roman"/>
          <w:sz w:val="24"/>
          <w:szCs w:val="24"/>
        </w:rPr>
        <w:t xml:space="preserve"> </w:t>
      </w:r>
      <w:r w:rsidRPr="008C597C">
        <w:rPr>
          <w:rFonts w:ascii="Times New Roman" w:hAnsi="Times New Roman" w:cs="Times New Roman"/>
          <w:sz w:val="24"/>
          <w:szCs w:val="24"/>
        </w:rPr>
        <w:fldChar w:fldCharType="begin" w:fldLock="1"/>
      </w:r>
      <w:r w:rsidRPr="008C597C">
        <w:rPr>
          <w:rFonts w:ascii="Times New Roman" w:hAnsi="Times New Roman" w:cs="Times New Roman"/>
          <w:sz w:val="24"/>
          <w:szCs w:val="24"/>
        </w:rPr>
        <w:instrText>ADDIN CSL_CITATION {"citationItems":[{"id":"ITEM-1","itemData":{"DOI":"10.1215/00182702-2311007","author":[{"dropping-particle":"","family":"Eyal","given":"Gil","non-dropping-particle":"","parse-names":false,"suffix":""},{"dropping-particle":"","family":"Levy","given":"Moran","non-dropping-particle":"","parse-names":false,"suffix":""}],"container-title":"History of Political Economy","id":"ITEM-1","issued":{"date-parts":[["2013"]]},"page":"220-253","title":"Economic Indicators as Public Interventions","type":"article-journal","volume":"45"},"uris":["http://www.mendeley.com/documents/?uuid=54f2ba94-c024-4a9a-86be-302b74b3aaf7"]}],"mendeley":{"formattedCitation":"(Eyal &amp; Levy, 2013)","plainTextFormattedCitation":"(Eyal &amp; Levy, 2013)","previouslyFormattedCitation":"(Eyal &amp; Levy, 2013)"},"properties":{"noteIndex":0},"schema":"https://github.com/citation-style-language/schema/raw/master/csl-citation.json"}</w:instrText>
      </w:r>
      <w:r w:rsidRPr="008C597C">
        <w:rPr>
          <w:rFonts w:ascii="Times New Roman" w:hAnsi="Times New Roman" w:cs="Times New Roman"/>
          <w:sz w:val="24"/>
          <w:szCs w:val="24"/>
        </w:rPr>
        <w:fldChar w:fldCharType="separate"/>
      </w:r>
      <w:r w:rsidRPr="008C597C">
        <w:rPr>
          <w:rFonts w:ascii="Times New Roman" w:hAnsi="Times New Roman" w:cs="Times New Roman"/>
          <w:noProof/>
          <w:sz w:val="24"/>
          <w:szCs w:val="24"/>
        </w:rPr>
        <w:t>(Eyal &amp; Levy, 2013)</w:t>
      </w:r>
      <w:r w:rsidRPr="008C597C">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68CB7B6" w14:textId="74134368" w:rsidR="00E334FD" w:rsidRDefault="00E334FD" w:rsidP="00E334FD">
      <w:pPr>
        <w:spacing w:line="360" w:lineRule="auto"/>
        <w:jc w:val="both"/>
        <w:rPr>
          <w:rFonts w:ascii="Times New Roman" w:hAnsi="Times New Roman" w:cs="Times New Roman"/>
          <w:sz w:val="24"/>
          <w:szCs w:val="24"/>
        </w:rPr>
      </w:pPr>
      <w:r w:rsidRPr="008C597C">
        <w:rPr>
          <w:rFonts w:ascii="Times New Roman" w:hAnsi="Times New Roman" w:cs="Times New Roman"/>
          <w:sz w:val="24"/>
          <w:szCs w:val="24"/>
        </w:rPr>
        <w:t>And yet, despite the increasing research interest in the sociology of quantification and issues connected to ‘governing by numbers’ (</w:t>
      </w:r>
      <w:r w:rsidRPr="008C597C">
        <w:rPr>
          <w:rFonts w:ascii="Times New Roman" w:eastAsia="Garamond" w:hAnsi="Times New Roman" w:cs="Times New Roman"/>
          <w:sz w:val="24"/>
          <w:szCs w:val="24"/>
          <w:lang w:val="en-US"/>
        </w:rPr>
        <w:t>Mehrpouya &amp; Samiolo, 2016</w:t>
      </w:r>
      <w:r>
        <w:rPr>
          <w:rFonts w:ascii="Times New Roman" w:eastAsia="Garamond" w:hAnsi="Times New Roman" w:cs="Times New Roman"/>
          <w:sz w:val="24"/>
          <w:szCs w:val="24"/>
          <w:lang w:val="en-US"/>
        </w:rPr>
        <w:t xml:space="preserve">; </w:t>
      </w:r>
      <w:r w:rsidRPr="008C597C">
        <w:rPr>
          <w:rFonts w:ascii="Times New Roman" w:hAnsi="Times New Roman" w:cs="Times New Roman"/>
          <w:sz w:val="24"/>
          <w:szCs w:val="24"/>
        </w:rPr>
        <w:t xml:space="preserve">Mennicken &amp; Espeland, 2019; </w:t>
      </w:r>
      <w:r>
        <w:rPr>
          <w:rFonts w:ascii="Times New Roman" w:eastAsia="Garamond" w:hAnsi="Times New Roman" w:cs="Times New Roman"/>
          <w:sz w:val="24"/>
          <w:szCs w:val="24"/>
          <w:lang w:val="en-US"/>
        </w:rPr>
        <w:t>Scheel &amp; Ustek-Splida, 2019</w:t>
      </w:r>
      <w:r w:rsidRPr="008C597C">
        <w:rPr>
          <w:rFonts w:ascii="Times New Roman" w:eastAsia="Garamond" w:hAnsi="Times New Roman" w:cs="Times New Roman"/>
          <w:sz w:val="24"/>
          <w:szCs w:val="24"/>
          <w:lang w:val="en-US"/>
        </w:rPr>
        <w:t xml:space="preserve">), very little is still known about how different </w:t>
      </w:r>
      <w:r w:rsidR="009E288E">
        <w:rPr>
          <w:rFonts w:ascii="Times New Roman" w:eastAsia="Garamond" w:hAnsi="Times New Roman" w:cs="Times New Roman"/>
          <w:sz w:val="24"/>
          <w:szCs w:val="24"/>
          <w:lang w:val="en-US"/>
        </w:rPr>
        <w:t>global actors</w:t>
      </w:r>
      <w:r w:rsidRPr="008C597C">
        <w:rPr>
          <w:rFonts w:ascii="Times New Roman" w:eastAsia="Garamond" w:hAnsi="Times New Roman" w:cs="Times New Roman"/>
          <w:sz w:val="24"/>
          <w:szCs w:val="24"/>
          <w:lang w:val="en-US"/>
        </w:rPr>
        <w:t xml:space="preserve"> </w:t>
      </w:r>
      <w:r w:rsidRPr="008C597C">
        <w:rPr>
          <w:rFonts w:ascii="Times New Roman" w:hAnsi="Times New Roman" w:cs="Times New Roman"/>
          <w:sz w:val="24"/>
          <w:szCs w:val="24"/>
        </w:rPr>
        <w:t>deal with</w:t>
      </w:r>
      <w:r>
        <w:rPr>
          <w:rFonts w:ascii="Times New Roman" w:hAnsi="Times New Roman" w:cs="Times New Roman"/>
          <w:sz w:val="24"/>
          <w:szCs w:val="24"/>
        </w:rPr>
        <w:t xml:space="preserve"> the</w:t>
      </w:r>
      <w:r w:rsidRPr="008C597C">
        <w:rPr>
          <w:rFonts w:ascii="Times New Roman" w:hAnsi="Times New Roman" w:cs="Times New Roman"/>
          <w:sz w:val="24"/>
          <w:szCs w:val="24"/>
        </w:rPr>
        <w:t xml:space="preserve"> production and dissemination of contradictory measures and indicators.</w:t>
      </w:r>
      <w:r>
        <w:rPr>
          <w:rFonts w:ascii="Times New Roman" w:hAnsi="Times New Roman" w:cs="Times New Roman"/>
          <w:sz w:val="24"/>
          <w:szCs w:val="24"/>
        </w:rPr>
        <w:t xml:space="preserve"> To unpack the tensions and struggles inherent to the </w:t>
      </w:r>
      <w:r w:rsidRPr="00766FD7">
        <w:rPr>
          <w:rFonts w:ascii="Times New Roman" w:hAnsi="Times New Roman" w:cs="Times New Roman"/>
          <w:sz w:val="24"/>
          <w:szCs w:val="24"/>
        </w:rPr>
        <w:t>epistemic practices</w:t>
      </w:r>
      <w:r>
        <w:rPr>
          <w:rFonts w:ascii="Times New Roman" w:hAnsi="Times New Roman" w:cs="Times New Roman"/>
          <w:sz w:val="24"/>
          <w:szCs w:val="24"/>
        </w:rPr>
        <w:t xml:space="preserve"> of indicator production</w:t>
      </w:r>
      <w:r w:rsidRPr="00766FD7">
        <w:rPr>
          <w:rFonts w:ascii="Times New Roman" w:hAnsi="Times New Roman" w:cs="Times New Roman"/>
          <w:sz w:val="24"/>
          <w:szCs w:val="24"/>
        </w:rPr>
        <w:t xml:space="preserve"> (Bueger, 2015)</w:t>
      </w:r>
      <w:r>
        <w:rPr>
          <w:rFonts w:ascii="Times New Roman" w:hAnsi="Times New Roman" w:cs="Times New Roman"/>
          <w:sz w:val="24"/>
          <w:szCs w:val="24"/>
        </w:rPr>
        <w:t xml:space="preserve">, we propose a theorisation of them as </w:t>
      </w:r>
      <w:r w:rsidRPr="00BA233B">
        <w:rPr>
          <w:rFonts w:ascii="Times New Roman" w:hAnsi="Times New Roman" w:cs="Times New Roman"/>
          <w:i/>
          <w:sz w:val="24"/>
          <w:szCs w:val="24"/>
        </w:rPr>
        <w:t>knowledge controversies</w:t>
      </w:r>
      <w:r>
        <w:rPr>
          <w:rFonts w:ascii="Times New Roman" w:hAnsi="Times New Roman" w:cs="Times New Roman"/>
          <w:sz w:val="24"/>
          <w:szCs w:val="24"/>
        </w:rPr>
        <w:t xml:space="preserve"> in global governance. </w:t>
      </w:r>
      <w:r w:rsidR="0009180C">
        <w:rPr>
          <w:rFonts w:ascii="Times New Roman" w:hAnsi="Times New Roman" w:cs="Times New Roman"/>
          <w:sz w:val="24"/>
          <w:szCs w:val="24"/>
        </w:rPr>
        <w:t>Conceptually rooted in Science and Technology Studies (STS)</w:t>
      </w:r>
      <w:r>
        <w:rPr>
          <w:rFonts w:ascii="Times New Roman" w:hAnsi="Times New Roman" w:cs="Times New Roman"/>
          <w:sz w:val="24"/>
          <w:szCs w:val="24"/>
        </w:rPr>
        <w:t>, knowledge controversies</w:t>
      </w:r>
      <w:r w:rsidRPr="00766FD7">
        <w:rPr>
          <w:rFonts w:ascii="Times New Roman" w:hAnsi="Times New Roman" w:cs="Times New Roman"/>
          <w:sz w:val="24"/>
          <w:szCs w:val="24"/>
        </w:rPr>
        <w:t xml:space="preserve"> are</w:t>
      </w:r>
      <w:r w:rsidR="0009180C">
        <w:rPr>
          <w:rFonts w:ascii="Times New Roman" w:hAnsi="Times New Roman" w:cs="Times New Roman"/>
          <w:sz w:val="24"/>
          <w:szCs w:val="24"/>
        </w:rPr>
        <w:t xml:space="preserve"> defined as</w:t>
      </w:r>
      <w:r w:rsidRPr="00766FD7">
        <w:rPr>
          <w:rFonts w:ascii="Times New Roman" w:hAnsi="Times New Roman" w:cs="Times New Roman"/>
          <w:sz w:val="24"/>
          <w:szCs w:val="24"/>
        </w:rPr>
        <w:t xml:space="preserve"> situations in which actors struggle over knowledge claims, their robustness, and suitability to inform and tackle policy problems (Sarewitz, 2001; Carolan, 2008; Whatmore, 2009</w:t>
      </w:r>
      <w:r>
        <w:rPr>
          <w:rFonts w:ascii="Times New Roman" w:hAnsi="Times New Roman" w:cs="Times New Roman"/>
          <w:sz w:val="24"/>
          <w:szCs w:val="24"/>
        </w:rPr>
        <w:t xml:space="preserve">; </w:t>
      </w:r>
      <w:r w:rsidR="003D121A">
        <w:rPr>
          <w:rFonts w:ascii="Times New Roman" w:hAnsi="Times New Roman" w:cs="Times New Roman"/>
          <w:sz w:val="24"/>
          <w:szCs w:val="24"/>
        </w:rPr>
        <w:t>Donaldson et al., 2010</w:t>
      </w:r>
      <w:r w:rsidRPr="00766FD7">
        <w:rPr>
          <w:rFonts w:ascii="Times New Roman" w:hAnsi="Times New Roman" w:cs="Times New Roman"/>
          <w:sz w:val="24"/>
          <w:szCs w:val="24"/>
        </w:rPr>
        <w:t>).</w:t>
      </w:r>
      <w:r>
        <w:rPr>
          <w:rFonts w:ascii="Times New Roman" w:hAnsi="Times New Roman" w:cs="Times New Roman"/>
          <w:sz w:val="24"/>
          <w:szCs w:val="24"/>
        </w:rPr>
        <w:t xml:space="preserve"> To investigate these issues, the paper draws on a detailed comparative case study building on 46 semi-structured interviews with experts involved in the production and dissemination of global indicators in the three large </w:t>
      </w:r>
      <w:r w:rsidRPr="008C597C">
        <w:rPr>
          <w:rFonts w:ascii="Times New Roman" w:hAnsi="Times New Roman" w:cs="Times New Roman"/>
          <w:sz w:val="24"/>
          <w:szCs w:val="24"/>
        </w:rPr>
        <w:t>International Organizations (IOs) with a remit of poverty re</w:t>
      </w:r>
      <w:r>
        <w:rPr>
          <w:rFonts w:ascii="Times New Roman" w:hAnsi="Times New Roman" w:cs="Times New Roman"/>
          <w:sz w:val="24"/>
          <w:szCs w:val="24"/>
        </w:rPr>
        <w:t>duction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namely the World Bank, UNICE</w:t>
      </w:r>
      <w:r w:rsidRPr="008C597C">
        <w:rPr>
          <w:rFonts w:ascii="Times New Roman" w:hAnsi="Times New Roman" w:cs="Times New Roman"/>
          <w:sz w:val="24"/>
          <w:szCs w:val="24"/>
        </w:rPr>
        <w:t xml:space="preserve">F, and </w:t>
      </w:r>
      <w:r>
        <w:rPr>
          <w:rFonts w:ascii="Times New Roman" w:hAnsi="Times New Roman" w:cs="Times New Roman"/>
          <w:sz w:val="24"/>
          <w:szCs w:val="24"/>
        </w:rPr>
        <w:t xml:space="preserve">UNDP. </w:t>
      </w:r>
    </w:p>
    <w:p w14:paraId="2F709124" w14:textId="2AE9715E" w:rsidR="00E334FD" w:rsidRDefault="00E334FD" w:rsidP="00E334F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Crucially, each of these IOs developed</w:t>
      </w:r>
      <w:r w:rsidRPr="008C597C">
        <w:rPr>
          <w:rFonts w:ascii="Times New Roman" w:hAnsi="Times New Roman" w:cs="Times New Roman"/>
          <w:sz w:val="24"/>
          <w:szCs w:val="24"/>
        </w:rPr>
        <w:t xml:space="preserve"> different approach</w:t>
      </w:r>
      <w:r>
        <w:rPr>
          <w:rFonts w:ascii="Times New Roman" w:hAnsi="Times New Roman" w:cs="Times New Roman"/>
          <w:sz w:val="24"/>
          <w:szCs w:val="24"/>
        </w:rPr>
        <w:t>es</w:t>
      </w:r>
      <w:r w:rsidRPr="008C597C">
        <w:rPr>
          <w:rFonts w:ascii="Times New Roman" w:hAnsi="Times New Roman" w:cs="Times New Roman"/>
          <w:sz w:val="24"/>
          <w:szCs w:val="24"/>
        </w:rPr>
        <w:t xml:space="preserve"> to poverty measurement. The most explic</w:t>
      </w:r>
      <w:r>
        <w:rPr>
          <w:rFonts w:ascii="Times New Roman" w:hAnsi="Times New Roman" w:cs="Times New Roman"/>
          <w:sz w:val="24"/>
          <w:szCs w:val="24"/>
        </w:rPr>
        <w:t xml:space="preserve">it example </w:t>
      </w:r>
      <w:r w:rsidR="009B5AF2">
        <w:rPr>
          <w:rFonts w:ascii="Times New Roman" w:hAnsi="Times New Roman" w:cs="Times New Roman"/>
          <w:sz w:val="24"/>
          <w:szCs w:val="24"/>
        </w:rPr>
        <w:t>is the co</w:t>
      </w:r>
      <w:r w:rsidRPr="008C597C">
        <w:rPr>
          <w:rFonts w:ascii="Times New Roman" w:hAnsi="Times New Roman" w:cs="Times New Roman"/>
          <w:sz w:val="24"/>
          <w:szCs w:val="24"/>
        </w:rPr>
        <w:t>existence of three multidimensional</w:t>
      </w:r>
      <w:r>
        <w:rPr>
          <w:rFonts w:ascii="Times New Roman" w:hAnsi="Times New Roman" w:cs="Times New Roman"/>
          <w:sz w:val="24"/>
          <w:szCs w:val="24"/>
        </w:rPr>
        <w:t xml:space="preserve"> poverty</w:t>
      </w:r>
      <w:r w:rsidRPr="008C597C">
        <w:rPr>
          <w:rFonts w:ascii="Times New Roman" w:hAnsi="Times New Roman" w:cs="Times New Roman"/>
          <w:sz w:val="24"/>
          <w:szCs w:val="24"/>
        </w:rPr>
        <w:t xml:space="preserve"> measures offered by these key players</w:t>
      </w:r>
      <w:r>
        <w:rPr>
          <w:rFonts w:ascii="Times New Roman" w:hAnsi="Times New Roman" w:cs="Times New Roman"/>
          <w:sz w:val="24"/>
          <w:szCs w:val="24"/>
        </w:rPr>
        <w:t>, namely the World Bank’s Multidimensional Poverty Index, UNPD’s Multidimensional Poverty Indicator, and UNICEF’s Multidimensional Overlapping Deprivation Analysis.</w:t>
      </w:r>
      <w:r w:rsidRPr="008C597C">
        <w:rPr>
          <w:rFonts w:ascii="Times New Roman" w:hAnsi="Times New Roman" w:cs="Times New Roman"/>
          <w:sz w:val="24"/>
          <w:szCs w:val="24"/>
        </w:rPr>
        <w:t xml:space="preserve"> </w:t>
      </w:r>
      <w:r>
        <w:rPr>
          <w:rFonts w:ascii="Times New Roman" w:hAnsi="Times New Roman" w:cs="Times New Roman"/>
          <w:sz w:val="24"/>
          <w:szCs w:val="24"/>
        </w:rPr>
        <w:t xml:space="preserve">These approaches differ in terms of the ideologies of poverty eradication that inspire them and the technical and methodological requirements for their implementation </w:t>
      </w:r>
      <w:r w:rsidR="00AD63D2">
        <w:rPr>
          <w:rFonts w:ascii="Times New Roman" w:hAnsi="Times New Roman" w:cs="Times New Roman"/>
          <w:sz w:val="24"/>
          <w:szCs w:val="24"/>
        </w:rPr>
        <w:t>(</w:t>
      </w:r>
      <w:r w:rsidR="00AD63D2" w:rsidRPr="005A3E29">
        <w:rPr>
          <w:rFonts w:ascii="Times New Roman" w:hAnsi="Times New Roman" w:cs="Times New Roman"/>
          <w:sz w:val="24"/>
          <w:szCs w:val="24"/>
        </w:rPr>
        <w:t>Gordon &amp; Nandy, 2012</w:t>
      </w:r>
      <w:r w:rsidR="00AD63D2">
        <w:rPr>
          <w:rFonts w:ascii="Times New Roman" w:hAnsi="Times New Roman" w:cs="Times New Roman"/>
          <w:sz w:val="24"/>
          <w:szCs w:val="24"/>
        </w:rPr>
        <w:t>).</w:t>
      </w:r>
      <w:r w:rsidRPr="00DB7AC6">
        <w:t xml:space="preserve"> </w:t>
      </w:r>
      <w:r w:rsidRPr="00DB7AC6">
        <w:rPr>
          <w:rFonts w:ascii="Times New Roman" w:hAnsi="Times New Roman" w:cs="Times New Roman"/>
          <w:sz w:val="24"/>
          <w:szCs w:val="24"/>
        </w:rPr>
        <w:t>Consequently, the countries reporting on multidimensional poverty might choose (or mix) the three appr</w:t>
      </w:r>
      <w:r>
        <w:rPr>
          <w:rFonts w:ascii="Times New Roman" w:hAnsi="Times New Roman" w:cs="Times New Roman"/>
          <w:sz w:val="24"/>
          <w:szCs w:val="24"/>
        </w:rPr>
        <w:t>oaches</w:t>
      </w:r>
      <w:r w:rsidR="00484205">
        <w:rPr>
          <w:rFonts w:ascii="Times New Roman" w:hAnsi="Times New Roman" w:cs="Times New Roman"/>
          <w:sz w:val="24"/>
          <w:szCs w:val="24"/>
        </w:rPr>
        <w:t xml:space="preserve"> – an aspect that </w:t>
      </w:r>
      <w:r w:rsidRPr="00DB7AC6">
        <w:rPr>
          <w:rFonts w:ascii="Times New Roman" w:hAnsi="Times New Roman" w:cs="Times New Roman"/>
          <w:sz w:val="24"/>
          <w:szCs w:val="24"/>
        </w:rPr>
        <w:t xml:space="preserve">raises issues with </w:t>
      </w:r>
      <w:r>
        <w:rPr>
          <w:rFonts w:ascii="Times New Roman" w:hAnsi="Times New Roman" w:cs="Times New Roman"/>
          <w:sz w:val="24"/>
          <w:szCs w:val="24"/>
        </w:rPr>
        <w:t xml:space="preserve">poverty monitoring, </w:t>
      </w:r>
      <w:r w:rsidRPr="00DB7AC6">
        <w:rPr>
          <w:rFonts w:ascii="Times New Roman" w:hAnsi="Times New Roman" w:cs="Times New Roman"/>
          <w:sz w:val="24"/>
          <w:szCs w:val="24"/>
        </w:rPr>
        <w:t>the accountability for poverty alleviation</w:t>
      </w:r>
      <w:r>
        <w:rPr>
          <w:rFonts w:ascii="Times New Roman" w:hAnsi="Times New Roman" w:cs="Times New Roman"/>
          <w:sz w:val="24"/>
          <w:szCs w:val="24"/>
        </w:rPr>
        <w:t>, and the political rather than substantive use of poverty measures at</w:t>
      </w:r>
      <w:r w:rsidR="009B5AF2">
        <w:rPr>
          <w:rFonts w:ascii="Times New Roman" w:hAnsi="Times New Roman" w:cs="Times New Roman"/>
          <w:sz w:val="24"/>
          <w:szCs w:val="24"/>
        </w:rPr>
        <w:t xml:space="preserve"> the</w:t>
      </w:r>
      <w:r>
        <w:rPr>
          <w:rFonts w:ascii="Times New Roman" w:hAnsi="Times New Roman" w:cs="Times New Roman"/>
          <w:sz w:val="24"/>
          <w:szCs w:val="24"/>
        </w:rPr>
        <w:t xml:space="preserve"> country level</w:t>
      </w:r>
      <w:r w:rsidRPr="00DB7AC6">
        <w:rPr>
          <w:rFonts w:ascii="Times New Roman" w:hAnsi="Times New Roman" w:cs="Times New Roman"/>
          <w:sz w:val="24"/>
          <w:szCs w:val="24"/>
        </w:rPr>
        <w:t>.</w:t>
      </w:r>
      <w:r>
        <w:rPr>
          <w:rFonts w:ascii="Times New Roman" w:hAnsi="Times New Roman" w:cs="Times New Roman"/>
          <w:sz w:val="24"/>
          <w:szCs w:val="24"/>
        </w:rPr>
        <w:t xml:space="preserve"> </w:t>
      </w:r>
    </w:p>
    <w:p w14:paraId="530650D8" w14:textId="15C366D7" w:rsidR="00A44757" w:rsidRDefault="002A6F8A" w:rsidP="00E334FD">
      <w:pPr>
        <w:spacing w:line="360" w:lineRule="auto"/>
        <w:jc w:val="both"/>
        <w:rPr>
          <w:rFonts w:ascii="Times New Roman" w:hAnsi="Times New Roman" w:cs="Times New Roman"/>
          <w:sz w:val="24"/>
          <w:szCs w:val="24"/>
        </w:rPr>
      </w:pPr>
      <w:r>
        <w:rPr>
          <w:rFonts w:ascii="Times New Roman" w:hAnsi="Times New Roman" w:cs="Times New Roman"/>
          <w:sz w:val="24"/>
          <w:szCs w:val="24"/>
        </w:rPr>
        <w:t>In this paper, w</w:t>
      </w:r>
      <w:r w:rsidR="00E334FD">
        <w:rPr>
          <w:rFonts w:ascii="Times New Roman" w:hAnsi="Times New Roman" w:cs="Times New Roman"/>
          <w:sz w:val="24"/>
          <w:szCs w:val="24"/>
        </w:rPr>
        <w:t xml:space="preserve">e show how the controversy among experts </w:t>
      </w:r>
      <w:r w:rsidR="00E334FD" w:rsidRPr="00DB7AC6">
        <w:rPr>
          <w:rFonts w:ascii="Times New Roman" w:hAnsi="Times New Roman" w:cs="Times New Roman"/>
          <w:sz w:val="24"/>
          <w:szCs w:val="24"/>
        </w:rPr>
        <w:t>over the</w:t>
      </w:r>
      <w:r w:rsidR="00E334FD">
        <w:rPr>
          <w:rFonts w:ascii="Times New Roman" w:hAnsi="Times New Roman" w:cs="Times New Roman"/>
          <w:sz w:val="24"/>
          <w:szCs w:val="24"/>
        </w:rPr>
        <w:t xml:space="preserve"> perceivably</w:t>
      </w:r>
      <w:r w:rsidR="00E334FD" w:rsidRPr="00DB7AC6">
        <w:rPr>
          <w:rFonts w:ascii="Times New Roman" w:hAnsi="Times New Roman" w:cs="Times New Roman"/>
          <w:sz w:val="24"/>
          <w:szCs w:val="24"/>
        </w:rPr>
        <w:t xml:space="preserve"> ‘correct’ way of measuring poverty</w:t>
      </w:r>
      <w:r w:rsidR="00E334FD">
        <w:rPr>
          <w:rFonts w:ascii="Times New Roman" w:hAnsi="Times New Roman" w:cs="Times New Roman"/>
          <w:sz w:val="24"/>
          <w:szCs w:val="24"/>
        </w:rPr>
        <w:t xml:space="preserve"> put increasing pressures on the IOs to compete with each other and persuade country officials to ad</w:t>
      </w:r>
      <w:r w:rsidR="001126D4">
        <w:rPr>
          <w:rFonts w:ascii="Times New Roman" w:hAnsi="Times New Roman" w:cs="Times New Roman"/>
          <w:sz w:val="24"/>
          <w:szCs w:val="24"/>
        </w:rPr>
        <w:t xml:space="preserve">opt their measures. </w:t>
      </w:r>
      <w:r w:rsidR="00591FC7">
        <w:rPr>
          <w:rFonts w:ascii="Times New Roman" w:hAnsi="Times New Roman" w:cs="Times New Roman"/>
          <w:sz w:val="24"/>
          <w:szCs w:val="24"/>
        </w:rPr>
        <w:t>Know</w:t>
      </w:r>
      <w:r w:rsidR="00EC38C9">
        <w:rPr>
          <w:rFonts w:ascii="Times New Roman" w:hAnsi="Times New Roman" w:cs="Times New Roman"/>
          <w:sz w:val="24"/>
          <w:szCs w:val="24"/>
        </w:rPr>
        <w:t>ledge controversy</w:t>
      </w:r>
      <w:r w:rsidR="006D5A01">
        <w:rPr>
          <w:rFonts w:ascii="Times New Roman" w:hAnsi="Times New Roman" w:cs="Times New Roman"/>
          <w:sz w:val="24"/>
          <w:szCs w:val="24"/>
        </w:rPr>
        <w:t xml:space="preserve"> </w:t>
      </w:r>
      <w:r w:rsidR="00982B40">
        <w:rPr>
          <w:rFonts w:ascii="Times New Roman" w:hAnsi="Times New Roman" w:cs="Times New Roman"/>
          <w:sz w:val="24"/>
          <w:szCs w:val="24"/>
        </w:rPr>
        <w:t>organised</w:t>
      </w:r>
      <w:r w:rsidR="006D5A01">
        <w:rPr>
          <w:rFonts w:ascii="Times New Roman" w:hAnsi="Times New Roman" w:cs="Times New Roman"/>
          <w:sz w:val="24"/>
          <w:szCs w:val="24"/>
        </w:rPr>
        <w:t xml:space="preserve"> the interdependencies </w:t>
      </w:r>
      <w:r w:rsidR="009B5AF2">
        <w:rPr>
          <w:rFonts w:ascii="Times New Roman" w:hAnsi="Times New Roman" w:cs="Times New Roman"/>
          <w:sz w:val="24"/>
          <w:szCs w:val="24"/>
        </w:rPr>
        <w:t>among</w:t>
      </w:r>
      <w:r w:rsidR="006D5A01">
        <w:rPr>
          <w:rFonts w:ascii="Times New Roman" w:hAnsi="Times New Roman" w:cs="Times New Roman"/>
          <w:sz w:val="24"/>
          <w:szCs w:val="24"/>
        </w:rPr>
        <w:t xml:space="preserve"> IOs into </w:t>
      </w:r>
      <w:r w:rsidR="000957EE">
        <w:rPr>
          <w:rFonts w:ascii="Times New Roman" w:hAnsi="Times New Roman" w:cs="Times New Roman"/>
          <w:sz w:val="24"/>
          <w:szCs w:val="24"/>
        </w:rPr>
        <w:t>specific forms of symbolic exchange</w:t>
      </w:r>
      <w:r w:rsidR="006D5A01">
        <w:rPr>
          <w:rFonts w:ascii="Times New Roman" w:hAnsi="Times New Roman" w:cs="Times New Roman"/>
          <w:sz w:val="24"/>
          <w:szCs w:val="24"/>
        </w:rPr>
        <w:t xml:space="preserve"> </w:t>
      </w:r>
      <w:r w:rsidR="009B5AF2">
        <w:rPr>
          <w:rFonts w:ascii="Times New Roman" w:hAnsi="Times New Roman" w:cs="Times New Roman"/>
          <w:sz w:val="24"/>
          <w:szCs w:val="24"/>
        </w:rPr>
        <w:t>that</w:t>
      </w:r>
      <w:r w:rsidR="00591FC7">
        <w:rPr>
          <w:rFonts w:ascii="Times New Roman" w:hAnsi="Times New Roman" w:cs="Times New Roman"/>
          <w:sz w:val="24"/>
          <w:szCs w:val="24"/>
        </w:rPr>
        <w:t xml:space="preserve"> we </w:t>
      </w:r>
      <w:r w:rsidR="00E47FCF">
        <w:rPr>
          <w:rFonts w:ascii="Times New Roman" w:hAnsi="Times New Roman" w:cs="Times New Roman"/>
          <w:sz w:val="24"/>
          <w:szCs w:val="24"/>
        </w:rPr>
        <w:t>describe as</w:t>
      </w:r>
      <w:r w:rsidR="00E334FD">
        <w:rPr>
          <w:rFonts w:ascii="Times New Roman" w:hAnsi="Times New Roman" w:cs="Times New Roman"/>
          <w:sz w:val="24"/>
          <w:szCs w:val="24"/>
        </w:rPr>
        <w:t xml:space="preserve"> </w:t>
      </w:r>
      <w:r w:rsidR="00E334FD" w:rsidRPr="00DB7AC6">
        <w:rPr>
          <w:rFonts w:ascii="Times New Roman" w:hAnsi="Times New Roman" w:cs="Times New Roman"/>
          <w:sz w:val="24"/>
          <w:szCs w:val="24"/>
        </w:rPr>
        <w:t>a ‘market of indicators’</w:t>
      </w:r>
      <w:r w:rsidR="00E334FD">
        <w:rPr>
          <w:rFonts w:ascii="Times New Roman" w:hAnsi="Times New Roman" w:cs="Times New Roman"/>
          <w:sz w:val="24"/>
          <w:szCs w:val="24"/>
        </w:rPr>
        <w:t>. This market-based governance system,</w:t>
      </w:r>
      <w:r w:rsidR="00E334FD" w:rsidRPr="00DB7AC6">
        <w:rPr>
          <w:rFonts w:ascii="Times New Roman" w:hAnsi="Times New Roman" w:cs="Times New Roman"/>
          <w:sz w:val="24"/>
          <w:szCs w:val="24"/>
        </w:rPr>
        <w:t xml:space="preserve"> </w:t>
      </w:r>
      <w:r w:rsidR="00E334FD">
        <w:rPr>
          <w:rFonts w:ascii="Times New Roman" w:hAnsi="Times New Roman" w:cs="Times New Roman"/>
          <w:sz w:val="24"/>
          <w:szCs w:val="24"/>
        </w:rPr>
        <w:t>where</w:t>
      </w:r>
      <w:r w:rsidR="00E334FD" w:rsidRPr="00DB7AC6">
        <w:rPr>
          <w:rFonts w:ascii="Times New Roman" w:hAnsi="Times New Roman" w:cs="Times New Roman"/>
          <w:sz w:val="24"/>
          <w:szCs w:val="24"/>
        </w:rPr>
        <w:t xml:space="preserve"> IOs </w:t>
      </w:r>
      <w:r w:rsidR="00E334FD">
        <w:rPr>
          <w:rFonts w:ascii="Times New Roman" w:hAnsi="Times New Roman" w:cs="Times New Roman"/>
          <w:sz w:val="24"/>
          <w:szCs w:val="24"/>
        </w:rPr>
        <w:t>advocate</w:t>
      </w:r>
      <w:r w:rsidR="00E334FD" w:rsidRPr="00DB7AC6">
        <w:rPr>
          <w:rFonts w:ascii="Times New Roman" w:hAnsi="Times New Roman" w:cs="Times New Roman"/>
          <w:sz w:val="24"/>
          <w:szCs w:val="24"/>
        </w:rPr>
        <w:t xml:space="preserve"> for their measures to accumulate different forms of (epistemic) capital</w:t>
      </w:r>
      <w:r w:rsidR="006A1EA8">
        <w:rPr>
          <w:rFonts w:ascii="Times New Roman" w:hAnsi="Times New Roman" w:cs="Times New Roman"/>
          <w:sz w:val="24"/>
          <w:szCs w:val="24"/>
        </w:rPr>
        <w:t xml:space="preserve"> (</w:t>
      </w:r>
      <w:r w:rsidR="009B5AF2">
        <w:rPr>
          <w:rFonts w:ascii="Times New Roman" w:hAnsi="Times New Roman" w:cs="Times New Roman"/>
          <w:sz w:val="24"/>
          <w:szCs w:val="24"/>
        </w:rPr>
        <w:t>see</w:t>
      </w:r>
      <w:r w:rsidR="00A71262">
        <w:rPr>
          <w:rFonts w:ascii="Times New Roman" w:hAnsi="Times New Roman" w:cs="Times New Roman"/>
          <w:sz w:val="24"/>
          <w:szCs w:val="24"/>
        </w:rPr>
        <w:t xml:space="preserve"> </w:t>
      </w:r>
      <w:r w:rsidR="006A1EA8">
        <w:rPr>
          <w:rFonts w:ascii="Times New Roman" w:hAnsi="Times New Roman" w:cs="Times New Roman"/>
          <w:sz w:val="24"/>
          <w:szCs w:val="24"/>
        </w:rPr>
        <w:t>Fochler, 2016)</w:t>
      </w:r>
      <w:r w:rsidR="00E334FD">
        <w:rPr>
          <w:rFonts w:ascii="Times New Roman" w:hAnsi="Times New Roman" w:cs="Times New Roman"/>
          <w:sz w:val="24"/>
          <w:szCs w:val="24"/>
        </w:rPr>
        <w:t xml:space="preserve">, is not </w:t>
      </w:r>
      <w:r w:rsidR="00E334FD" w:rsidRPr="00DB7AC6">
        <w:rPr>
          <w:rFonts w:ascii="Times New Roman" w:hAnsi="Times New Roman" w:cs="Times New Roman"/>
          <w:sz w:val="24"/>
          <w:szCs w:val="24"/>
        </w:rPr>
        <w:t>inconsequentia</w:t>
      </w:r>
      <w:r w:rsidR="009B5AF2">
        <w:rPr>
          <w:rFonts w:ascii="Times New Roman" w:hAnsi="Times New Roman" w:cs="Times New Roman"/>
          <w:sz w:val="24"/>
          <w:szCs w:val="24"/>
        </w:rPr>
        <w:t>l. U</w:t>
      </w:r>
      <w:r w:rsidR="00E334FD">
        <w:rPr>
          <w:rFonts w:ascii="Times New Roman" w:hAnsi="Times New Roman" w:cs="Times New Roman"/>
          <w:sz w:val="24"/>
          <w:szCs w:val="24"/>
        </w:rPr>
        <w:t>npacking the theoretical implications of t</w:t>
      </w:r>
      <w:r w:rsidR="00A44757">
        <w:rPr>
          <w:rFonts w:ascii="Times New Roman" w:hAnsi="Times New Roman" w:cs="Times New Roman"/>
          <w:sz w:val="24"/>
          <w:szCs w:val="24"/>
        </w:rPr>
        <w:t xml:space="preserve">he market </w:t>
      </w:r>
      <w:r w:rsidR="009B5AF2">
        <w:rPr>
          <w:rFonts w:ascii="Times New Roman" w:hAnsi="Times New Roman" w:cs="Times New Roman"/>
          <w:sz w:val="24"/>
          <w:szCs w:val="24"/>
        </w:rPr>
        <w:t>of</w:t>
      </w:r>
      <w:r w:rsidR="00A44757">
        <w:rPr>
          <w:rFonts w:ascii="Times New Roman" w:hAnsi="Times New Roman" w:cs="Times New Roman"/>
          <w:sz w:val="24"/>
          <w:szCs w:val="24"/>
        </w:rPr>
        <w:t xml:space="preserve"> indicators</w:t>
      </w:r>
      <w:r w:rsidR="00CD5A8E">
        <w:rPr>
          <w:rFonts w:ascii="Times New Roman" w:hAnsi="Times New Roman" w:cs="Times New Roman"/>
          <w:sz w:val="24"/>
          <w:szCs w:val="24"/>
        </w:rPr>
        <w:t>,</w:t>
      </w:r>
      <w:r w:rsidR="00E334FD">
        <w:rPr>
          <w:rFonts w:ascii="Times New Roman" w:hAnsi="Times New Roman" w:cs="Times New Roman"/>
          <w:sz w:val="24"/>
          <w:szCs w:val="24"/>
        </w:rPr>
        <w:t xml:space="preserve"> we </w:t>
      </w:r>
      <w:r w:rsidR="00F14E48">
        <w:rPr>
          <w:rFonts w:ascii="Times New Roman" w:hAnsi="Times New Roman" w:cs="Times New Roman"/>
          <w:sz w:val="24"/>
          <w:szCs w:val="24"/>
        </w:rPr>
        <w:t>contribute to the existing literature by theorizing</w:t>
      </w:r>
      <w:r w:rsidR="00E334FD">
        <w:rPr>
          <w:rFonts w:ascii="Times New Roman" w:hAnsi="Times New Roman" w:cs="Times New Roman"/>
          <w:sz w:val="24"/>
          <w:szCs w:val="24"/>
        </w:rPr>
        <w:t xml:space="preserve"> the </w:t>
      </w:r>
      <w:r w:rsidR="00A44757">
        <w:rPr>
          <w:rFonts w:ascii="Times New Roman" w:hAnsi="Times New Roman" w:cs="Times New Roman"/>
          <w:sz w:val="24"/>
          <w:szCs w:val="24"/>
        </w:rPr>
        <w:t>global poverty space as ‘governed by controversy’</w:t>
      </w:r>
      <w:r w:rsidR="00483A91">
        <w:rPr>
          <w:rFonts w:ascii="Times New Roman" w:hAnsi="Times New Roman" w:cs="Times New Roman"/>
          <w:sz w:val="24"/>
          <w:szCs w:val="24"/>
        </w:rPr>
        <w:t>. T</w:t>
      </w:r>
      <w:r w:rsidR="00C24646">
        <w:rPr>
          <w:rFonts w:ascii="Times New Roman" w:hAnsi="Times New Roman" w:cs="Times New Roman"/>
          <w:sz w:val="24"/>
          <w:szCs w:val="24"/>
        </w:rPr>
        <w:t xml:space="preserve">he </w:t>
      </w:r>
      <w:r w:rsidR="009B5AF2">
        <w:rPr>
          <w:rFonts w:ascii="Times New Roman" w:hAnsi="Times New Roman" w:cs="Times New Roman"/>
          <w:sz w:val="24"/>
          <w:szCs w:val="24"/>
        </w:rPr>
        <w:t>struggles</w:t>
      </w:r>
      <w:r w:rsidR="00C24646">
        <w:rPr>
          <w:rFonts w:ascii="Times New Roman" w:hAnsi="Times New Roman" w:cs="Times New Roman"/>
          <w:sz w:val="24"/>
          <w:szCs w:val="24"/>
        </w:rPr>
        <w:t xml:space="preserve"> over measurement shaped the focus and domain</w:t>
      </w:r>
      <w:r w:rsidR="009B5AF2">
        <w:rPr>
          <w:rFonts w:ascii="Times New Roman" w:hAnsi="Times New Roman" w:cs="Times New Roman"/>
          <w:sz w:val="24"/>
          <w:szCs w:val="24"/>
        </w:rPr>
        <w:t>s</w:t>
      </w:r>
      <w:r w:rsidR="00C24646">
        <w:rPr>
          <w:rFonts w:ascii="Times New Roman" w:hAnsi="Times New Roman" w:cs="Times New Roman"/>
          <w:sz w:val="24"/>
          <w:szCs w:val="24"/>
        </w:rPr>
        <w:t xml:space="preserve"> of action of </w:t>
      </w:r>
      <w:r w:rsidR="003605EE">
        <w:rPr>
          <w:rFonts w:ascii="Times New Roman" w:hAnsi="Times New Roman" w:cs="Times New Roman"/>
          <w:sz w:val="24"/>
          <w:szCs w:val="24"/>
        </w:rPr>
        <w:t xml:space="preserve">the </w:t>
      </w:r>
      <w:r w:rsidR="009B5AF2">
        <w:rPr>
          <w:rFonts w:ascii="Times New Roman" w:hAnsi="Times New Roman" w:cs="Times New Roman"/>
          <w:sz w:val="24"/>
          <w:szCs w:val="24"/>
        </w:rPr>
        <w:t>IOs,</w:t>
      </w:r>
      <w:r w:rsidR="00C24646">
        <w:rPr>
          <w:rFonts w:ascii="Times New Roman" w:hAnsi="Times New Roman" w:cs="Times New Roman"/>
          <w:sz w:val="24"/>
          <w:szCs w:val="24"/>
        </w:rPr>
        <w:t xml:space="preserve"> and </w:t>
      </w:r>
      <w:r w:rsidR="009B5AF2">
        <w:rPr>
          <w:rFonts w:ascii="Times New Roman" w:hAnsi="Times New Roman" w:cs="Times New Roman"/>
          <w:sz w:val="24"/>
          <w:szCs w:val="24"/>
        </w:rPr>
        <w:t>organised</w:t>
      </w:r>
      <w:r w:rsidR="00C24646">
        <w:rPr>
          <w:rFonts w:ascii="Times New Roman" w:hAnsi="Times New Roman" w:cs="Times New Roman"/>
          <w:sz w:val="24"/>
          <w:szCs w:val="24"/>
        </w:rPr>
        <w:t xml:space="preserve"> the interactions between them through </w:t>
      </w:r>
      <w:r w:rsidR="009B5AF2">
        <w:rPr>
          <w:rFonts w:ascii="Times New Roman" w:hAnsi="Times New Roman" w:cs="Times New Roman"/>
          <w:sz w:val="24"/>
          <w:szCs w:val="24"/>
        </w:rPr>
        <w:t>specific strategies</w:t>
      </w:r>
      <w:r w:rsidR="00C24646">
        <w:rPr>
          <w:rFonts w:ascii="Times New Roman" w:hAnsi="Times New Roman" w:cs="Times New Roman"/>
          <w:sz w:val="24"/>
          <w:szCs w:val="24"/>
        </w:rPr>
        <w:t xml:space="preserve"> </w:t>
      </w:r>
      <w:r w:rsidR="009B5AF2">
        <w:rPr>
          <w:rFonts w:ascii="Times New Roman" w:hAnsi="Times New Roman" w:cs="Times New Roman"/>
          <w:sz w:val="24"/>
          <w:szCs w:val="24"/>
        </w:rPr>
        <w:t>to differentiate their indicator portfolio</w:t>
      </w:r>
      <w:r w:rsidR="00C24646">
        <w:rPr>
          <w:rFonts w:ascii="Times New Roman" w:hAnsi="Times New Roman" w:cs="Times New Roman"/>
          <w:sz w:val="24"/>
          <w:szCs w:val="24"/>
        </w:rPr>
        <w:t>.</w:t>
      </w:r>
    </w:p>
    <w:p w14:paraId="2F67E890" w14:textId="651EFBCB" w:rsidR="00E334FD" w:rsidRDefault="00752DC9" w:rsidP="00E334F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971FF">
        <w:rPr>
          <w:rFonts w:ascii="Times New Roman" w:hAnsi="Times New Roman" w:cs="Times New Roman"/>
          <w:sz w:val="24"/>
          <w:szCs w:val="24"/>
        </w:rPr>
        <w:t>his</w:t>
      </w:r>
      <w:r>
        <w:rPr>
          <w:rFonts w:ascii="Times New Roman" w:hAnsi="Times New Roman" w:cs="Times New Roman"/>
          <w:sz w:val="24"/>
          <w:szCs w:val="24"/>
        </w:rPr>
        <w:t xml:space="preserve"> market-making power of </w:t>
      </w:r>
      <w:r w:rsidR="00301FB9">
        <w:rPr>
          <w:rFonts w:ascii="Times New Roman" w:hAnsi="Times New Roman" w:cs="Times New Roman"/>
          <w:sz w:val="24"/>
          <w:szCs w:val="24"/>
        </w:rPr>
        <w:t xml:space="preserve">the </w:t>
      </w:r>
      <w:r>
        <w:rPr>
          <w:rFonts w:ascii="Times New Roman" w:hAnsi="Times New Roman" w:cs="Times New Roman"/>
          <w:sz w:val="24"/>
          <w:szCs w:val="24"/>
        </w:rPr>
        <w:t>knowledge controversy</w:t>
      </w:r>
      <w:r w:rsidR="00716798">
        <w:rPr>
          <w:rFonts w:ascii="Times New Roman" w:hAnsi="Times New Roman" w:cs="Times New Roman"/>
          <w:sz w:val="24"/>
          <w:szCs w:val="24"/>
        </w:rPr>
        <w:t xml:space="preserve"> transformed</w:t>
      </w:r>
      <w:r>
        <w:rPr>
          <w:rFonts w:ascii="Times New Roman" w:hAnsi="Times New Roman" w:cs="Times New Roman"/>
          <w:sz w:val="24"/>
          <w:szCs w:val="24"/>
        </w:rPr>
        <w:t xml:space="preserve"> the </w:t>
      </w:r>
      <w:r w:rsidR="00B9187B">
        <w:rPr>
          <w:rFonts w:ascii="Times New Roman" w:hAnsi="Times New Roman" w:cs="Times New Roman"/>
          <w:sz w:val="24"/>
          <w:szCs w:val="24"/>
        </w:rPr>
        <w:t>poverty measurement i</w:t>
      </w:r>
      <w:r w:rsidR="008971FF">
        <w:rPr>
          <w:rFonts w:ascii="Times New Roman" w:hAnsi="Times New Roman" w:cs="Times New Roman"/>
          <w:sz w:val="24"/>
          <w:szCs w:val="24"/>
        </w:rPr>
        <w:t>nto</w:t>
      </w:r>
      <w:r>
        <w:rPr>
          <w:rFonts w:ascii="Times New Roman" w:hAnsi="Times New Roman" w:cs="Times New Roman"/>
          <w:sz w:val="24"/>
          <w:szCs w:val="24"/>
        </w:rPr>
        <w:t xml:space="preserve"> a ‘site’ valuation. </w:t>
      </w:r>
      <w:r w:rsidR="008971FF">
        <w:rPr>
          <w:rFonts w:ascii="Times New Roman" w:hAnsi="Times New Roman" w:cs="Times New Roman"/>
          <w:sz w:val="24"/>
          <w:szCs w:val="24"/>
        </w:rPr>
        <w:t>T</w:t>
      </w:r>
      <w:r w:rsidR="00E334FD">
        <w:rPr>
          <w:rFonts w:ascii="Times New Roman" w:hAnsi="Times New Roman" w:cs="Times New Roman"/>
          <w:sz w:val="24"/>
          <w:szCs w:val="24"/>
        </w:rPr>
        <w:t xml:space="preserve">o unpack the </w:t>
      </w:r>
      <w:r w:rsidR="00E334FD" w:rsidRPr="00DB7AC6">
        <w:rPr>
          <w:rFonts w:ascii="Times New Roman" w:hAnsi="Times New Roman" w:cs="Times New Roman"/>
          <w:sz w:val="24"/>
          <w:szCs w:val="24"/>
        </w:rPr>
        <w:t>new forms of worth that the organisation create</w:t>
      </w:r>
      <w:r w:rsidR="00E334FD">
        <w:rPr>
          <w:rFonts w:ascii="Times New Roman" w:hAnsi="Times New Roman" w:cs="Times New Roman"/>
          <w:sz w:val="24"/>
          <w:szCs w:val="24"/>
        </w:rPr>
        <w:t xml:space="preserve"> in the market for indicators, we link the literature on knowledge controversy and the </w:t>
      </w:r>
      <w:r w:rsidR="00E334FD">
        <w:rPr>
          <w:rFonts w:ascii="Times New Roman" w:hAnsi="Times New Roman" w:cs="Times New Roman"/>
          <w:i/>
          <w:sz w:val="24"/>
          <w:szCs w:val="24"/>
        </w:rPr>
        <w:t xml:space="preserve">sociology of valuation </w:t>
      </w:r>
      <w:r w:rsidR="00E334FD">
        <w:rPr>
          <w:rFonts w:ascii="Times New Roman" w:hAnsi="Times New Roman" w:cs="Times New Roman"/>
          <w:sz w:val="24"/>
          <w:szCs w:val="24"/>
        </w:rPr>
        <w:t xml:space="preserve">(Stark, 2009; Lamont, 2012; Kornberger, 2017). As an interdisciplinary area of study, the sociology of valuation is concerned with </w:t>
      </w:r>
      <w:r w:rsidR="008C1831">
        <w:rPr>
          <w:rFonts w:ascii="Times New Roman" w:hAnsi="Times New Roman" w:cs="Times New Roman"/>
          <w:sz w:val="24"/>
          <w:szCs w:val="24"/>
        </w:rPr>
        <w:t>exploring the</w:t>
      </w:r>
      <w:r w:rsidR="00E334FD">
        <w:rPr>
          <w:rFonts w:ascii="Times New Roman" w:hAnsi="Times New Roman" w:cs="Times New Roman"/>
          <w:sz w:val="24"/>
          <w:szCs w:val="24"/>
        </w:rPr>
        <w:t xml:space="preserve"> social processes where values are assessed, negotiated, maintained, constructed, or contested (Doganova et al., 2014).</w:t>
      </w:r>
      <w:r w:rsidR="00EE6D0C">
        <w:rPr>
          <w:rFonts w:ascii="Times New Roman" w:hAnsi="Times New Roman" w:cs="Times New Roman"/>
          <w:sz w:val="24"/>
          <w:szCs w:val="24"/>
        </w:rPr>
        <w:t xml:space="preserve"> In particular, </w:t>
      </w:r>
      <w:r w:rsidR="00301FB9">
        <w:rPr>
          <w:rFonts w:ascii="Times New Roman" w:hAnsi="Times New Roman" w:cs="Times New Roman"/>
          <w:sz w:val="24"/>
          <w:szCs w:val="24"/>
        </w:rPr>
        <w:t xml:space="preserve">the </w:t>
      </w:r>
      <w:r w:rsidR="00EE6D0C">
        <w:rPr>
          <w:rFonts w:ascii="Times New Roman" w:hAnsi="Times New Roman" w:cs="Times New Roman"/>
          <w:sz w:val="24"/>
          <w:szCs w:val="24"/>
        </w:rPr>
        <w:t>sociology of val</w:t>
      </w:r>
      <w:r w:rsidR="00337841">
        <w:rPr>
          <w:rFonts w:ascii="Times New Roman" w:hAnsi="Times New Roman" w:cs="Times New Roman"/>
          <w:sz w:val="24"/>
          <w:szCs w:val="24"/>
        </w:rPr>
        <w:t>uation</w:t>
      </w:r>
      <w:r w:rsidR="00EE6D0C">
        <w:rPr>
          <w:rFonts w:ascii="Times New Roman" w:hAnsi="Times New Roman" w:cs="Times New Roman"/>
          <w:sz w:val="24"/>
          <w:szCs w:val="24"/>
        </w:rPr>
        <w:t xml:space="preserve"> foregrounds </w:t>
      </w:r>
      <w:r w:rsidR="00E334FD">
        <w:rPr>
          <w:rFonts w:ascii="Times New Roman" w:hAnsi="Times New Roman" w:cs="Times New Roman"/>
          <w:sz w:val="24"/>
          <w:szCs w:val="24"/>
        </w:rPr>
        <w:t xml:space="preserve">how conflicting values and their inner tensions may </w:t>
      </w:r>
      <w:r w:rsidR="00E334FD" w:rsidRPr="00870B54">
        <w:rPr>
          <w:rFonts w:ascii="Times New Roman" w:hAnsi="Times New Roman" w:cs="Times New Roman"/>
          <w:sz w:val="24"/>
          <w:szCs w:val="24"/>
        </w:rPr>
        <w:t xml:space="preserve">sustain </w:t>
      </w:r>
      <w:r w:rsidR="00E334FD">
        <w:rPr>
          <w:rFonts w:ascii="Times New Roman" w:hAnsi="Times New Roman" w:cs="Times New Roman"/>
          <w:sz w:val="24"/>
          <w:szCs w:val="24"/>
        </w:rPr>
        <w:t xml:space="preserve">generative </w:t>
      </w:r>
      <w:r w:rsidR="00E334FD" w:rsidRPr="00870B54">
        <w:rPr>
          <w:rFonts w:ascii="Times New Roman" w:hAnsi="Times New Roman" w:cs="Times New Roman"/>
          <w:sz w:val="24"/>
          <w:szCs w:val="24"/>
        </w:rPr>
        <w:t>processes of search of innovative forms of knowledge production</w:t>
      </w:r>
      <w:r w:rsidR="00E334FD">
        <w:rPr>
          <w:rFonts w:ascii="Times New Roman" w:hAnsi="Times New Roman" w:cs="Times New Roman"/>
          <w:sz w:val="24"/>
          <w:szCs w:val="24"/>
        </w:rPr>
        <w:t xml:space="preserve"> (Stark, 2009; Lamont, 2012; Quattrone, 2015). </w:t>
      </w:r>
    </w:p>
    <w:p w14:paraId="4E809505" w14:textId="5C86AE3E" w:rsidR="009C2252" w:rsidRPr="00E334FD" w:rsidRDefault="00E334FD" w:rsidP="00E334F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leads</w:t>
      </w:r>
      <w:r w:rsidR="00EB252F">
        <w:rPr>
          <w:rFonts w:ascii="Times New Roman" w:hAnsi="Times New Roman" w:cs="Times New Roman"/>
          <w:sz w:val="24"/>
          <w:szCs w:val="24"/>
        </w:rPr>
        <w:t xml:space="preserve"> to</w:t>
      </w:r>
      <w:r>
        <w:rPr>
          <w:rFonts w:ascii="Times New Roman" w:hAnsi="Times New Roman" w:cs="Times New Roman"/>
          <w:sz w:val="24"/>
          <w:szCs w:val="24"/>
        </w:rPr>
        <w:t xml:space="preserve"> the second </w:t>
      </w:r>
      <w:r w:rsidR="00E7625B">
        <w:rPr>
          <w:rFonts w:ascii="Times New Roman" w:hAnsi="Times New Roman" w:cs="Times New Roman"/>
          <w:sz w:val="24"/>
          <w:szCs w:val="24"/>
        </w:rPr>
        <w:t xml:space="preserve">important </w:t>
      </w:r>
      <w:r>
        <w:rPr>
          <w:rFonts w:ascii="Times New Roman" w:hAnsi="Times New Roman" w:cs="Times New Roman"/>
          <w:sz w:val="24"/>
          <w:szCs w:val="24"/>
        </w:rPr>
        <w:t>contribution of the paper, namely the theorisation of knowledge controversy as an ‘engine of valuation’. We detail how the IOs’ struggles over the value of indicators exceeded the questioning of their methodological robustness (</w:t>
      </w:r>
      <w:r w:rsidRPr="00E10E64">
        <w:rPr>
          <w:rFonts w:ascii="Times New Roman" w:hAnsi="Times New Roman" w:cs="Times New Roman"/>
          <w:i/>
          <w:sz w:val="24"/>
          <w:szCs w:val="24"/>
        </w:rPr>
        <w:t>epistemic value</w:t>
      </w:r>
      <w:r>
        <w:rPr>
          <w:rFonts w:ascii="Times New Roman" w:hAnsi="Times New Roman" w:cs="Times New Roman"/>
          <w:sz w:val="24"/>
          <w:szCs w:val="24"/>
        </w:rPr>
        <w:t xml:space="preserve">). Crucially, they involved a systematic discussions on the indicators’ </w:t>
      </w:r>
      <w:r w:rsidRPr="00E10E64">
        <w:rPr>
          <w:rFonts w:ascii="Times New Roman" w:hAnsi="Times New Roman" w:cs="Times New Roman"/>
          <w:sz w:val="24"/>
          <w:szCs w:val="24"/>
        </w:rPr>
        <w:t xml:space="preserve">capacity to be appropriated </w:t>
      </w:r>
      <w:r>
        <w:rPr>
          <w:rFonts w:ascii="Times New Roman" w:hAnsi="Times New Roman" w:cs="Times New Roman"/>
          <w:sz w:val="24"/>
          <w:szCs w:val="24"/>
        </w:rPr>
        <w:t>by political actors</w:t>
      </w:r>
      <w:r w:rsidRPr="00E10E64">
        <w:rPr>
          <w:rFonts w:ascii="Times New Roman" w:hAnsi="Times New Roman" w:cs="Times New Roman"/>
          <w:sz w:val="24"/>
          <w:szCs w:val="24"/>
        </w:rPr>
        <w:t xml:space="preserve"> (</w:t>
      </w:r>
      <w:r w:rsidRPr="00E10E64">
        <w:rPr>
          <w:rFonts w:ascii="Times New Roman" w:hAnsi="Times New Roman" w:cs="Times New Roman"/>
          <w:i/>
          <w:sz w:val="24"/>
          <w:szCs w:val="24"/>
        </w:rPr>
        <w:t>political value</w:t>
      </w:r>
      <w:r w:rsidRPr="00E10E64">
        <w:rPr>
          <w:rFonts w:ascii="Times New Roman" w:hAnsi="Times New Roman" w:cs="Times New Roman"/>
          <w:sz w:val="24"/>
          <w:szCs w:val="24"/>
        </w:rPr>
        <w:t xml:space="preserve">), and the </w:t>
      </w:r>
      <w:r w:rsidR="008C1831">
        <w:rPr>
          <w:rFonts w:ascii="Times New Roman" w:hAnsi="Times New Roman" w:cs="Times New Roman"/>
          <w:sz w:val="24"/>
          <w:szCs w:val="24"/>
        </w:rPr>
        <w:t xml:space="preserve">assessment of how the indicators can </w:t>
      </w:r>
      <w:r>
        <w:rPr>
          <w:rFonts w:ascii="Times New Roman" w:hAnsi="Times New Roman" w:cs="Times New Roman"/>
          <w:sz w:val="24"/>
          <w:szCs w:val="24"/>
        </w:rPr>
        <w:t>interfere</w:t>
      </w:r>
      <w:r w:rsidRPr="00E10E64">
        <w:rPr>
          <w:rFonts w:ascii="Times New Roman" w:hAnsi="Times New Roman" w:cs="Times New Roman"/>
          <w:sz w:val="24"/>
          <w:szCs w:val="24"/>
        </w:rPr>
        <w:t xml:space="preserve"> </w:t>
      </w:r>
      <w:r w:rsidR="008C1831">
        <w:rPr>
          <w:rFonts w:ascii="Times New Roman" w:hAnsi="Times New Roman" w:cs="Times New Roman"/>
          <w:sz w:val="24"/>
          <w:szCs w:val="24"/>
        </w:rPr>
        <w:t xml:space="preserve">with </w:t>
      </w:r>
      <w:r w:rsidRPr="00E10E64">
        <w:rPr>
          <w:rFonts w:ascii="Times New Roman" w:hAnsi="Times New Roman" w:cs="Times New Roman"/>
          <w:sz w:val="24"/>
          <w:szCs w:val="24"/>
        </w:rPr>
        <w:t xml:space="preserve">and influence other </w:t>
      </w:r>
      <w:r w:rsidR="008C1831">
        <w:rPr>
          <w:rFonts w:ascii="Times New Roman" w:hAnsi="Times New Roman" w:cs="Times New Roman"/>
          <w:sz w:val="24"/>
          <w:szCs w:val="24"/>
        </w:rPr>
        <w:t>actors’</w:t>
      </w:r>
      <w:r w:rsidRPr="00E10E64">
        <w:rPr>
          <w:rFonts w:ascii="Times New Roman" w:hAnsi="Times New Roman" w:cs="Times New Roman"/>
          <w:sz w:val="24"/>
          <w:szCs w:val="24"/>
        </w:rPr>
        <w:t xml:space="preserve"> measurement approaches</w:t>
      </w:r>
      <w:r w:rsidR="008C1831">
        <w:rPr>
          <w:rFonts w:ascii="Times New Roman" w:hAnsi="Times New Roman" w:cs="Times New Roman"/>
          <w:sz w:val="24"/>
          <w:szCs w:val="24"/>
        </w:rPr>
        <w:t xml:space="preserve"> and expand the remit and influence of the IO</w:t>
      </w:r>
      <w:r w:rsidR="007C5DEA">
        <w:rPr>
          <w:rFonts w:ascii="Times New Roman" w:hAnsi="Times New Roman" w:cs="Times New Roman"/>
          <w:sz w:val="24"/>
          <w:szCs w:val="24"/>
        </w:rPr>
        <w:t>s</w:t>
      </w:r>
      <w:r w:rsidRPr="00E10E64">
        <w:rPr>
          <w:rFonts w:ascii="Times New Roman" w:hAnsi="Times New Roman" w:cs="Times New Roman"/>
          <w:sz w:val="24"/>
          <w:szCs w:val="24"/>
        </w:rPr>
        <w:t xml:space="preserve"> (</w:t>
      </w:r>
      <w:r w:rsidRPr="00E10E64">
        <w:rPr>
          <w:rFonts w:ascii="Times New Roman" w:hAnsi="Times New Roman" w:cs="Times New Roman"/>
          <w:i/>
          <w:sz w:val="24"/>
          <w:szCs w:val="24"/>
        </w:rPr>
        <w:t>strategic value</w:t>
      </w:r>
      <w:r w:rsidRPr="00E10E64">
        <w:rPr>
          <w:rFonts w:ascii="Times New Roman" w:hAnsi="Times New Roman" w:cs="Times New Roman"/>
          <w:sz w:val="24"/>
          <w:szCs w:val="24"/>
        </w:rPr>
        <w:t>).</w:t>
      </w:r>
      <w:r>
        <w:rPr>
          <w:rFonts w:ascii="Times New Roman" w:hAnsi="Times New Roman" w:cs="Times New Roman"/>
          <w:sz w:val="24"/>
          <w:szCs w:val="24"/>
        </w:rPr>
        <w:t xml:space="preserve"> Thus, we illustrate how a situation of controversy opens up not only the black box of knowledge production</w:t>
      </w:r>
      <w:r w:rsidRPr="008C597C">
        <w:rPr>
          <w:rFonts w:ascii="Times New Roman" w:hAnsi="Times New Roman" w:cs="Times New Roman"/>
          <w:sz w:val="24"/>
          <w:szCs w:val="24"/>
        </w:rPr>
        <w:t xml:space="preserve"> </w:t>
      </w:r>
      <w:r>
        <w:rPr>
          <w:rFonts w:ascii="Times New Roman" w:hAnsi="Times New Roman" w:cs="Times New Roman"/>
          <w:sz w:val="24"/>
          <w:szCs w:val="24"/>
        </w:rPr>
        <w:t>revealing taken-for-granted assumption embedded in the process of quantification</w:t>
      </w:r>
      <w:r w:rsidR="008C1831">
        <w:rPr>
          <w:rFonts w:ascii="Times New Roman" w:hAnsi="Times New Roman" w:cs="Times New Roman"/>
          <w:sz w:val="24"/>
          <w:szCs w:val="24"/>
        </w:rPr>
        <w:t xml:space="preserve"> </w:t>
      </w:r>
      <w:r w:rsidR="008C1831" w:rsidRPr="008C597C">
        <w:rPr>
          <w:rFonts w:ascii="Times New Roman" w:eastAsia="Garamond" w:hAnsi="Times New Roman" w:cs="Times New Roman"/>
          <w:sz w:val="24"/>
          <w:szCs w:val="24"/>
          <w:lang w:val="en-US"/>
        </w:rPr>
        <w:t>(</w:t>
      </w:r>
      <w:r w:rsidR="008C1831">
        <w:rPr>
          <w:rFonts w:ascii="Times New Roman" w:eastAsia="Garamond" w:hAnsi="Times New Roman" w:cs="Times New Roman"/>
          <w:sz w:val="24"/>
          <w:szCs w:val="24"/>
          <w:lang w:val="en-US"/>
        </w:rPr>
        <w:t xml:space="preserve">Callon, 1998; </w:t>
      </w:r>
      <w:r w:rsidR="008C1831" w:rsidRPr="008C597C">
        <w:rPr>
          <w:rFonts w:ascii="Times New Roman" w:eastAsia="Garamond" w:hAnsi="Times New Roman" w:cs="Times New Roman"/>
          <w:sz w:val="24"/>
          <w:szCs w:val="24"/>
          <w:lang w:val="en-US"/>
        </w:rPr>
        <w:t>Desroisères,</w:t>
      </w:r>
      <w:r w:rsidR="008C1831" w:rsidRPr="008C597C">
        <w:rPr>
          <w:rFonts w:ascii="Times New Roman" w:hAnsi="Times New Roman" w:cs="Times New Roman"/>
          <w:iCs/>
          <w:sz w:val="24"/>
          <w:szCs w:val="24"/>
        </w:rPr>
        <w:t xml:space="preserve"> 2015</w:t>
      </w:r>
      <w:r w:rsidR="008C1831">
        <w:rPr>
          <w:rFonts w:ascii="Times New Roman" w:hAnsi="Times New Roman" w:cs="Times New Roman"/>
          <w:sz w:val="24"/>
          <w:szCs w:val="24"/>
        </w:rPr>
        <w:t>)</w:t>
      </w:r>
      <w:r>
        <w:rPr>
          <w:rFonts w:ascii="Times New Roman" w:hAnsi="Times New Roman" w:cs="Times New Roman"/>
          <w:sz w:val="24"/>
          <w:szCs w:val="24"/>
        </w:rPr>
        <w:t xml:space="preserve">, but also the black-box of the processes of the creation of the epistemic, political, and strategic value of </w:t>
      </w:r>
      <w:r w:rsidR="00226A85">
        <w:rPr>
          <w:rFonts w:ascii="Times New Roman" w:hAnsi="Times New Roman" w:cs="Times New Roman"/>
          <w:sz w:val="24"/>
          <w:szCs w:val="24"/>
        </w:rPr>
        <w:t>different forms of quantification.</w:t>
      </w:r>
    </w:p>
    <w:p w14:paraId="4949A73F" w14:textId="6BF770BA" w:rsidR="00E107B9" w:rsidRPr="00E107B9" w:rsidRDefault="00E107B9" w:rsidP="00E107B9">
      <w:pPr>
        <w:pStyle w:val="ListParagraph"/>
        <w:numPr>
          <w:ilvl w:val="0"/>
          <w:numId w:val="2"/>
        </w:numPr>
        <w:spacing w:line="360" w:lineRule="auto"/>
        <w:rPr>
          <w:rFonts w:ascii="Times New Roman" w:hAnsi="Times New Roman" w:cs="Times New Roman"/>
          <w:b/>
          <w:sz w:val="24"/>
          <w:szCs w:val="24"/>
        </w:rPr>
      </w:pPr>
      <w:r w:rsidRPr="00E107B9">
        <w:rPr>
          <w:rFonts w:ascii="Times New Roman" w:hAnsi="Times New Roman" w:cs="Times New Roman"/>
          <w:b/>
          <w:sz w:val="24"/>
          <w:szCs w:val="24"/>
        </w:rPr>
        <w:t xml:space="preserve">Literature review </w:t>
      </w:r>
    </w:p>
    <w:p w14:paraId="29A1F50E" w14:textId="77777777" w:rsidR="00E107B9" w:rsidRPr="00E107B9" w:rsidRDefault="00E107B9" w:rsidP="00E107B9">
      <w:pPr>
        <w:pStyle w:val="ListParagraph"/>
        <w:numPr>
          <w:ilvl w:val="1"/>
          <w:numId w:val="2"/>
        </w:numPr>
        <w:spacing w:line="360" w:lineRule="auto"/>
        <w:jc w:val="both"/>
        <w:rPr>
          <w:rFonts w:ascii="Times New Roman" w:eastAsia="Garamond" w:hAnsi="Times New Roman" w:cs="Times New Roman"/>
          <w:b/>
          <w:sz w:val="24"/>
          <w:szCs w:val="24"/>
          <w:lang w:val="en-US"/>
        </w:rPr>
      </w:pPr>
      <w:r w:rsidRPr="00E107B9">
        <w:rPr>
          <w:rFonts w:ascii="Times New Roman" w:eastAsia="Garamond" w:hAnsi="Times New Roman" w:cs="Times New Roman"/>
          <w:b/>
          <w:sz w:val="24"/>
          <w:szCs w:val="24"/>
          <w:lang w:val="en-US"/>
        </w:rPr>
        <w:t>Knowledge controversies and the production of indicators</w:t>
      </w:r>
    </w:p>
    <w:p w14:paraId="4542D368" w14:textId="6E0F280C" w:rsidR="00E107B9" w:rsidRPr="00E107B9" w:rsidRDefault="00E107B9" w:rsidP="00E107B9">
      <w:pPr>
        <w:spacing w:line="360" w:lineRule="auto"/>
        <w:jc w:val="both"/>
        <w:rPr>
          <w:rFonts w:ascii="Times New Roman" w:eastAsia="Garamond" w:hAnsi="Times New Roman" w:cs="Times New Roman"/>
          <w:sz w:val="24"/>
          <w:szCs w:val="24"/>
          <w:lang w:val="en-US"/>
        </w:rPr>
      </w:pPr>
      <w:r w:rsidRPr="00E107B9">
        <w:rPr>
          <w:rFonts w:ascii="Times New Roman" w:eastAsia="Garamond" w:hAnsi="Times New Roman" w:cs="Times New Roman"/>
          <w:sz w:val="24"/>
          <w:szCs w:val="24"/>
          <w:lang w:val="en-US"/>
        </w:rPr>
        <w:t>Knowledge Controversies (</w:t>
      </w:r>
      <w:r w:rsidR="00D1123A">
        <w:rPr>
          <w:rFonts w:ascii="Times New Roman" w:eastAsia="Garamond" w:hAnsi="Times New Roman" w:cs="Times New Roman"/>
          <w:sz w:val="24"/>
          <w:szCs w:val="24"/>
          <w:lang w:val="en-US"/>
        </w:rPr>
        <w:t xml:space="preserve">from now on </w:t>
      </w:r>
      <w:r w:rsidRPr="00E107B9">
        <w:rPr>
          <w:rFonts w:ascii="Times New Roman" w:eastAsia="Garamond" w:hAnsi="Times New Roman" w:cs="Times New Roman"/>
          <w:sz w:val="24"/>
          <w:szCs w:val="24"/>
          <w:lang w:val="en-US"/>
        </w:rPr>
        <w:t>KC) are social situations in which knowledge claims become a subject of a dispute between experts disagreeing over the epistemic qualities and the ‘truth’ status of science (Whatmore, 2009). Vast literature in STS focused on the study of KC as a methodological tool of opening up the ‘black-box’ of k</w:t>
      </w:r>
      <w:r w:rsidR="00FA14C6">
        <w:rPr>
          <w:rFonts w:ascii="Times New Roman" w:eastAsia="Garamond" w:hAnsi="Times New Roman" w:cs="Times New Roman"/>
          <w:sz w:val="24"/>
          <w:szCs w:val="24"/>
          <w:lang w:val="en-US"/>
        </w:rPr>
        <w:t>nowledge production (</w:t>
      </w:r>
      <w:r w:rsidRPr="00E107B9">
        <w:rPr>
          <w:rFonts w:ascii="Times New Roman" w:eastAsia="Garamond" w:hAnsi="Times New Roman" w:cs="Times New Roman"/>
          <w:sz w:val="24"/>
          <w:szCs w:val="24"/>
          <w:lang w:val="en-US"/>
        </w:rPr>
        <w:t>Latour 1987</w:t>
      </w:r>
      <w:r w:rsidR="00D1123A">
        <w:rPr>
          <w:rFonts w:ascii="Times New Roman" w:eastAsia="Garamond" w:hAnsi="Times New Roman" w:cs="Times New Roman"/>
          <w:sz w:val="24"/>
          <w:szCs w:val="24"/>
          <w:lang w:val="en-US"/>
        </w:rPr>
        <w:t>; Callon, 1998</w:t>
      </w:r>
      <w:r w:rsidRPr="00E107B9">
        <w:rPr>
          <w:rFonts w:ascii="Times New Roman" w:eastAsia="Garamond" w:hAnsi="Times New Roman" w:cs="Times New Roman"/>
          <w:sz w:val="24"/>
          <w:szCs w:val="24"/>
          <w:lang w:val="en-US"/>
        </w:rPr>
        <w:t xml:space="preserve">) and </w:t>
      </w:r>
      <w:r w:rsidR="003412BF">
        <w:rPr>
          <w:rFonts w:ascii="Times New Roman" w:eastAsia="Garamond" w:hAnsi="Times New Roman" w:cs="Times New Roman"/>
          <w:sz w:val="24"/>
          <w:szCs w:val="24"/>
          <w:lang w:val="en-US"/>
        </w:rPr>
        <w:t>enabling</w:t>
      </w:r>
      <w:r w:rsidRPr="00E107B9">
        <w:rPr>
          <w:rFonts w:ascii="Times New Roman" w:eastAsia="Garamond" w:hAnsi="Times New Roman" w:cs="Times New Roman"/>
          <w:sz w:val="24"/>
          <w:szCs w:val="24"/>
          <w:lang w:val="en-US"/>
        </w:rPr>
        <w:t xml:space="preserve"> </w:t>
      </w:r>
      <w:r w:rsidR="003412BF">
        <w:rPr>
          <w:rFonts w:ascii="Times New Roman" w:eastAsia="Garamond" w:hAnsi="Times New Roman" w:cs="Times New Roman"/>
          <w:sz w:val="24"/>
          <w:szCs w:val="24"/>
          <w:lang w:val="en-US"/>
        </w:rPr>
        <w:t>the</w:t>
      </w:r>
      <w:r w:rsidRPr="00E107B9">
        <w:rPr>
          <w:rFonts w:ascii="Times New Roman" w:eastAsia="Garamond" w:hAnsi="Times New Roman" w:cs="Times New Roman"/>
          <w:sz w:val="24"/>
          <w:szCs w:val="24"/>
          <w:lang w:val="en-US"/>
        </w:rPr>
        <w:t xml:space="preserve"> exploration of implicit meanings, values, and interests inherent to production of objective ‘facts’. As such, the focus on KC can unveil the taken-for-granted assumptions that hold together institutionalized ways of doing things as they become questioned and more explicit (Petts &amp; Brooks, 2006; Chilvers, 2008; Bosworth, 2017).</w:t>
      </w:r>
    </w:p>
    <w:p w14:paraId="2FB514E6" w14:textId="0FAB9F4B" w:rsidR="00E107B9" w:rsidRPr="00E107B9" w:rsidRDefault="00E107B9" w:rsidP="00E107B9">
      <w:pPr>
        <w:spacing w:line="360" w:lineRule="auto"/>
        <w:jc w:val="both"/>
        <w:rPr>
          <w:rFonts w:ascii="Times New Roman" w:eastAsia="Garamond" w:hAnsi="Times New Roman" w:cs="Times New Roman"/>
          <w:sz w:val="24"/>
          <w:szCs w:val="24"/>
          <w:lang w:val="en-US"/>
        </w:rPr>
      </w:pPr>
      <w:r w:rsidRPr="00E107B9">
        <w:rPr>
          <w:rFonts w:ascii="Times New Roman" w:eastAsia="Garamond" w:hAnsi="Times New Roman" w:cs="Times New Roman"/>
          <w:sz w:val="24"/>
          <w:szCs w:val="24"/>
          <w:lang w:val="en-US"/>
        </w:rPr>
        <w:t>This area of scholarship evolved from a focus on scientific controversies and consensus formation</w:t>
      </w:r>
      <w:r w:rsidR="00FA14C6">
        <w:rPr>
          <w:rFonts w:ascii="Times New Roman" w:eastAsia="Garamond" w:hAnsi="Times New Roman" w:cs="Times New Roman"/>
          <w:sz w:val="24"/>
          <w:szCs w:val="24"/>
          <w:lang w:val="en-US"/>
        </w:rPr>
        <w:t xml:space="preserve"> </w:t>
      </w:r>
      <w:r w:rsidRPr="00E107B9">
        <w:rPr>
          <w:rFonts w:ascii="Times New Roman" w:eastAsia="Garamond" w:hAnsi="Times New Roman" w:cs="Times New Roman"/>
          <w:sz w:val="24"/>
          <w:szCs w:val="24"/>
          <w:lang w:val="en-US"/>
        </w:rPr>
        <w:t xml:space="preserve">to account for broader public, political, and environmental controversies </w:t>
      </w:r>
      <w:r w:rsidR="00FA14C6">
        <w:rPr>
          <w:rFonts w:ascii="Times New Roman" w:eastAsia="Garamond" w:hAnsi="Times New Roman" w:cs="Times New Roman"/>
          <w:sz w:val="24"/>
          <w:szCs w:val="24"/>
          <w:lang w:val="en-US"/>
        </w:rPr>
        <w:fldChar w:fldCharType="begin" w:fldLock="1"/>
      </w:r>
      <w:r w:rsidR="00FA14C6">
        <w:rPr>
          <w:rFonts w:ascii="Times New Roman" w:eastAsia="Garamond" w:hAnsi="Times New Roman" w:cs="Times New Roman"/>
          <w:sz w:val="24"/>
          <w:szCs w:val="24"/>
          <w:lang w:val="en-US"/>
        </w:rPr>
        <w:instrText>ADDIN CSL_CITATION {"citationItems":[{"id":"ITEM-1","itemData":{"author":[{"dropping-particle":"","family":"Martin","given":"Brian","non-dropping-particle":"","parse-names":false,"suffix":""},{"dropping-particle":"","family":"Richards","given":"Evelleen","non-dropping-particle":"","parse-names":false,"suffix":""}],"container-title":"Handbook of science and technology studies","id":"ITEM-1","issued":{"date-parts":[["1995"]]},"page":"26","publisher":"Sage Newbury Park","title":"Scientific knowledge, controversy, and public decision-making","type":"article-journal","volume":"506"},"uris":["http://www.mendeley.com/documents/?uuid=c56f4ecd-c65a-499e-b3b2-3c7f5a197763"]}],"mendeley":{"formattedCitation":"(Martin &amp; Richards, 1995)","plainTextFormattedCitation":"(Martin &amp; Richards, 1995)","previouslyFormattedCitation":"(Martin &amp; Richards, 1995)"},"properties":{"noteIndex":0},"schema":"https://github.com/citation-style-language/schema/raw/master/csl-citation.json"}</w:instrText>
      </w:r>
      <w:r w:rsidR="00FA14C6">
        <w:rPr>
          <w:rFonts w:ascii="Times New Roman" w:eastAsia="Garamond" w:hAnsi="Times New Roman" w:cs="Times New Roman"/>
          <w:sz w:val="24"/>
          <w:szCs w:val="24"/>
          <w:lang w:val="en-US"/>
        </w:rPr>
        <w:fldChar w:fldCharType="separate"/>
      </w:r>
      <w:r w:rsidR="00FA14C6" w:rsidRPr="00FA14C6">
        <w:rPr>
          <w:rFonts w:ascii="Times New Roman" w:eastAsia="Garamond" w:hAnsi="Times New Roman" w:cs="Times New Roman"/>
          <w:noProof/>
          <w:sz w:val="24"/>
          <w:szCs w:val="24"/>
          <w:lang w:val="en-US"/>
        </w:rPr>
        <w:t>(Martin &amp; Richards, 1995)</w:t>
      </w:r>
      <w:r w:rsidR="00FA14C6">
        <w:rPr>
          <w:rFonts w:ascii="Times New Roman" w:eastAsia="Garamond" w:hAnsi="Times New Roman" w:cs="Times New Roman"/>
          <w:sz w:val="24"/>
          <w:szCs w:val="24"/>
          <w:lang w:val="en-US"/>
        </w:rPr>
        <w:fldChar w:fldCharType="end"/>
      </w:r>
      <w:r w:rsidR="00FA14C6">
        <w:rPr>
          <w:rFonts w:ascii="Times New Roman" w:eastAsia="Garamond" w:hAnsi="Times New Roman" w:cs="Times New Roman"/>
          <w:sz w:val="24"/>
          <w:szCs w:val="24"/>
          <w:lang w:val="en-US"/>
        </w:rPr>
        <w:t>.</w:t>
      </w:r>
      <w:r w:rsidRPr="00E107B9">
        <w:rPr>
          <w:rFonts w:ascii="Times New Roman" w:eastAsia="Garamond" w:hAnsi="Times New Roman" w:cs="Times New Roman"/>
          <w:sz w:val="24"/>
          <w:szCs w:val="24"/>
          <w:lang w:val="en-US"/>
        </w:rPr>
        <w:t xml:space="preserve"> Within the production of knowledge for social and environmental problems, conflicts frequently emerge at the intersection of epistemic assumptions about the validity, reliability, and credibility of knowledge</w:t>
      </w:r>
      <w:r w:rsidR="00FA14C6">
        <w:rPr>
          <w:rFonts w:ascii="Times New Roman" w:eastAsia="Garamond" w:hAnsi="Times New Roman" w:cs="Times New Roman"/>
          <w:sz w:val="24"/>
          <w:szCs w:val="24"/>
          <w:lang w:val="en-US"/>
        </w:rPr>
        <w:t xml:space="preserve"> </w:t>
      </w:r>
      <w:r w:rsidR="00FA14C6">
        <w:rPr>
          <w:rFonts w:ascii="Times New Roman" w:eastAsia="Garamond" w:hAnsi="Times New Roman" w:cs="Times New Roman"/>
          <w:sz w:val="24"/>
          <w:szCs w:val="24"/>
          <w:lang w:val="en-US"/>
        </w:rPr>
        <w:fldChar w:fldCharType="begin" w:fldLock="1"/>
      </w:r>
      <w:r w:rsidR="004E74AB">
        <w:rPr>
          <w:rFonts w:ascii="Times New Roman" w:eastAsia="Garamond" w:hAnsi="Times New Roman" w:cs="Times New Roman"/>
          <w:sz w:val="24"/>
          <w:szCs w:val="24"/>
          <w:lang w:val="en-US"/>
        </w:rPr>
        <w:instrText>ADDIN CSL_CITATION {"citationItems":[{"id":"ITEM-1","itemData":{"ISSN":"0952-0767","author":[{"dropping-particle":"","family":"Daviter","given":"Falk","non-dropping-particle":"","parse-names":false,"suffix":""}],"container-title":"Public Policy and Administration","id":"ITEM-1","issue":"1","issued":{"date-parts":[["2019"]]},"page":"62-83","publisher":"SAGE Publications Sage UK: London, England","title":"Policy analysis in the face of complexity: What kind of knowledge to tackle wicked problems?","type":"article-journal","volume":"34"},"uris":["http://www.mendeley.com/documents/?uuid=facbfb52-b33a-47e0-bc9c-95f5d970f146"]}],"mendeley":{"formattedCitation":"(Daviter, 2019)","plainTextFormattedCitation":"(Daviter, 2019)","previouslyFormattedCitation":"(Daviter, 2019)"},"properties":{"noteIndex":0},"schema":"https://github.com/citation-style-language/schema/raw/master/csl-citation.json"}</w:instrText>
      </w:r>
      <w:r w:rsidR="00FA14C6">
        <w:rPr>
          <w:rFonts w:ascii="Times New Roman" w:eastAsia="Garamond" w:hAnsi="Times New Roman" w:cs="Times New Roman"/>
          <w:sz w:val="24"/>
          <w:szCs w:val="24"/>
          <w:lang w:val="en-US"/>
        </w:rPr>
        <w:fldChar w:fldCharType="separate"/>
      </w:r>
      <w:r w:rsidR="00FA14C6" w:rsidRPr="00FA14C6">
        <w:rPr>
          <w:rFonts w:ascii="Times New Roman" w:eastAsia="Garamond" w:hAnsi="Times New Roman" w:cs="Times New Roman"/>
          <w:noProof/>
          <w:sz w:val="24"/>
          <w:szCs w:val="24"/>
          <w:lang w:val="en-US"/>
        </w:rPr>
        <w:t>(Daviter, 2019)</w:t>
      </w:r>
      <w:r w:rsidR="00FA14C6">
        <w:rPr>
          <w:rFonts w:ascii="Times New Roman" w:eastAsia="Garamond" w:hAnsi="Times New Roman" w:cs="Times New Roman"/>
          <w:sz w:val="24"/>
          <w:szCs w:val="24"/>
          <w:lang w:val="en-US"/>
        </w:rPr>
        <w:fldChar w:fldCharType="end"/>
      </w:r>
      <w:r w:rsidR="00301FB9">
        <w:rPr>
          <w:rFonts w:ascii="Times New Roman" w:eastAsia="Garamond" w:hAnsi="Times New Roman" w:cs="Times New Roman"/>
          <w:sz w:val="24"/>
          <w:szCs w:val="24"/>
          <w:lang w:val="en-US"/>
        </w:rPr>
        <w:t>.</w:t>
      </w:r>
      <w:r w:rsidRPr="00E107B9">
        <w:rPr>
          <w:rFonts w:ascii="Times New Roman" w:eastAsia="Garamond" w:hAnsi="Times New Roman" w:cs="Times New Roman"/>
          <w:sz w:val="24"/>
          <w:szCs w:val="24"/>
          <w:lang w:val="en-US"/>
        </w:rPr>
        <w:t xml:space="preserve"> Of particular importance here is the role of knowledge practices in political life. Indeed, extant research pointed to the sources of KC as extending beyond purely epistemic factors (Donaldson et al., 2010) and also entailing political, social, and moral considerations (Nelkin, 1995). The central insight offered by this research is that the interplay between knowledge and politics in KC results in their insolvability purely on the basis of </w:t>
      </w:r>
      <w:r w:rsidR="00CE4EFB">
        <w:rPr>
          <w:rFonts w:ascii="Times New Roman" w:eastAsia="Garamond" w:hAnsi="Times New Roman" w:cs="Times New Roman"/>
          <w:sz w:val="24"/>
          <w:szCs w:val="24"/>
          <w:lang w:val="en-US"/>
        </w:rPr>
        <w:t>knowledge</w:t>
      </w:r>
      <w:r w:rsidRPr="00E107B9">
        <w:rPr>
          <w:rFonts w:ascii="Times New Roman" w:eastAsia="Garamond" w:hAnsi="Times New Roman" w:cs="Times New Roman"/>
          <w:sz w:val="24"/>
          <w:szCs w:val="24"/>
          <w:lang w:val="en-US"/>
        </w:rPr>
        <w:t xml:space="preserve"> and expertise</w:t>
      </w:r>
      <w:r w:rsidR="00D1123A">
        <w:rPr>
          <w:rFonts w:ascii="Times New Roman" w:eastAsia="Garamond" w:hAnsi="Times New Roman" w:cs="Times New Roman"/>
          <w:sz w:val="24"/>
          <w:szCs w:val="24"/>
          <w:lang w:val="en-US"/>
        </w:rPr>
        <w:t xml:space="preserve"> (Whatmore, 2009)</w:t>
      </w:r>
      <w:r w:rsidRPr="00E107B9">
        <w:rPr>
          <w:rFonts w:ascii="Times New Roman" w:eastAsia="Garamond" w:hAnsi="Times New Roman" w:cs="Times New Roman"/>
          <w:sz w:val="24"/>
          <w:szCs w:val="24"/>
          <w:lang w:val="en-US"/>
        </w:rPr>
        <w:t xml:space="preserve">. Rather, the ‘closure’ of the </w:t>
      </w:r>
      <w:r w:rsidRPr="00E107B9">
        <w:rPr>
          <w:rFonts w:ascii="Times New Roman" w:eastAsia="Garamond" w:hAnsi="Times New Roman" w:cs="Times New Roman"/>
          <w:sz w:val="24"/>
          <w:szCs w:val="24"/>
          <w:lang w:val="en-US"/>
        </w:rPr>
        <w:lastRenderedPageBreak/>
        <w:t>controversy is more often accomplished by the changing configurations of actors, institutions, values, and objectives (Grundm</w:t>
      </w:r>
      <w:r w:rsidR="003412BF">
        <w:rPr>
          <w:rFonts w:ascii="Times New Roman" w:eastAsia="Garamond" w:hAnsi="Times New Roman" w:cs="Times New Roman"/>
          <w:sz w:val="24"/>
          <w:szCs w:val="24"/>
          <w:lang w:val="en-US"/>
        </w:rPr>
        <w:t>an &amp; Stehr, 2012</w:t>
      </w:r>
      <w:r w:rsidRPr="00E107B9">
        <w:rPr>
          <w:rFonts w:ascii="Times New Roman" w:eastAsia="Garamond" w:hAnsi="Times New Roman" w:cs="Times New Roman"/>
          <w:sz w:val="24"/>
          <w:szCs w:val="24"/>
          <w:lang w:val="en-US"/>
        </w:rPr>
        <w:t xml:space="preserve">). </w:t>
      </w:r>
    </w:p>
    <w:p w14:paraId="50EF8668" w14:textId="1C3C11DE" w:rsidR="00E107B9" w:rsidRPr="00E107B9" w:rsidRDefault="00E107B9" w:rsidP="00E107B9">
      <w:pPr>
        <w:spacing w:line="360" w:lineRule="auto"/>
        <w:jc w:val="both"/>
        <w:rPr>
          <w:rFonts w:ascii="Times New Roman" w:eastAsia="Garamond" w:hAnsi="Times New Roman" w:cs="Times New Roman"/>
          <w:sz w:val="24"/>
          <w:szCs w:val="24"/>
          <w:lang w:val="en-US"/>
        </w:rPr>
      </w:pPr>
      <w:r w:rsidRPr="006D7C0F">
        <w:rPr>
          <w:rFonts w:ascii="Times New Roman" w:eastAsia="Garamond" w:hAnsi="Times New Roman" w:cs="Times New Roman"/>
          <w:sz w:val="24"/>
          <w:szCs w:val="24"/>
          <w:lang w:val="en-US"/>
        </w:rPr>
        <w:t>The development of KC is driven by the different actors engaging in the process of knowledge production.</w:t>
      </w:r>
      <w:r w:rsidRPr="00E107B9">
        <w:rPr>
          <w:rFonts w:ascii="Times New Roman" w:eastAsia="Garamond" w:hAnsi="Times New Roman" w:cs="Times New Roman"/>
          <w:sz w:val="24"/>
          <w:szCs w:val="24"/>
          <w:lang w:val="en-US"/>
        </w:rPr>
        <w:t xml:space="preserve"> The redistribution of heterogeneous expertise in complex governance challenges results in “an ever-growing, ever-more-varied cast of characters” (Callon, 1998, p.260) who </w:t>
      </w:r>
      <w:r w:rsidR="006D7C0F">
        <w:rPr>
          <w:rFonts w:ascii="Times New Roman" w:eastAsia="Garamond" w:hAnsi="Times New Roman" w:cs="Times New Roman"/>
          <w:sz w:val="24"/>
          <w:szCs w:val="24"/>
          <w:lang w:val="en-US"/>
        </w:rPr>
        <w:t xml:space="preserve">produce knowledge </w:t>
      </w:r>
      <w:r w:rsidRPr="00E107B9">
        <w:rPr>
          <w:rFonts w:ascii="Times New Roman" w:eastAsia="Garamond" w:hAnsi="Times New Roman" w:cs="Times New Roman"/>
          <w:sz w:val="24"/>
          <w:szCs w:val="24"/>
          <w:lang w:val="en-US"/>
        </w:rPr>
        <w:t>and orchestrate its social ordering (Whatmore, 2009). Scholars have shown that the controversies generated by the use of specific technologies (e.g. computer simulation modelling –</w:t>
      </w:r>
      <w:r w:rsidRPr="00E107B9">
        <w:rPr>
          <w:rFonts w:ascii="Times New Roman" w:eastAsia="Garamond" w:hAnsi="Times New Roman" w:cs="Times New Roman"/>
          <w:sz w:val="24"/>
          <w:szCs w:val="24"/>
          <w:lang w:val="en-US" w:eastAsia="en-GB"/>
        </w:rPr>
        <w:t xml:space="preserve"> Landström </w:t>
      </w:r>
      <w:r w:rsidRPr="00E107B9">
        <w:rPr>
          <w:rFonts w:ascii="Times New Roman" w:eastAsia="Garamond" w:hAnsi="Times New Roman" w:cs="Times New Roman"/>
          <w:sz w:val="24"/>
          <w:szCs w:val="24"/>
          <w:lang w:val="en-US"/>
        </w:rPr>
        <w:t>et al., 2011) can contribute to the coproduction of knowledge that crosses disciplinary boundaries and epistemic practices (Donaldson et al., 2011; Chilvers, 2008). Simultaneously, participatory processes do not necessarily mitigate conflicts, as KC can become politicized in contested environments characterized by opposing demands and heterogeneous audiences (Callon</w:t>
      </w:r>
      <w:r w:rsidR="000F7C7A">
        <w:rPr>
          <w:rFonts w:ascii="Times New Roman" w:eastAsia="Garamond" w:hAnsi="Times New Roman" w:cs="Times New Roman"/>
          <w:sz w:val="24"/>
          <w:szCs w:val="24"/>
          <w:lang w:val="en-US"/>
        </w:rPr>
        <w:t>, 1998</w:t>
      </w:r>
      <w:r w:rsidRPr="00E107B9">
        <w:rPr>
          <w:rFonts w:ascii="Times New Roman" w:eastAsia="Garamond" w:hAnsi="Times New Roman" w:cs="Times New Roman"/>
          <w:sz w:val="24"/>
          <w:szCs w:val="24"/>
          <w:lang w:val="en-US"/>
        </w:rPr>
        <w:t xml:space="preserve">) – e.g. in relation to the governmental response to the spread of diseases (Jasanoff, 1997) or in reaction to contested environmental issues such as the disposal of nuclear waste (Sarewitz, 2001). In scenarios entailing high levels of scientific uncertainty such as the above, the discrepancies among scientific, technical, environmental, and political ‘facts’ can make KC act as ‘uncertainty multipliers’ (Vaughan, 1999). This, in turn, has been shown to enable actors to advance political agendas by appealing to different </w:t>
      </w:r>
      <w:r w:rsidR="003412BF">
        <w:rPr>
          <w:rFonts w:ascii="Times New Roman" w:eastAsia="Garamond" w:hAnsi="Times New Roman" w:cs="Times New Roman"/>
          <w:sz w:val="24"/>
          <w:szCs w:val="24"/>
          <w:lang w:val="en-US"/>
        </w:rPr>
        <w:t>bodies of legitimized knowledge</w:t>
      </w:r>
      <w:r w:rsidRPr="00E107B9">
        <w:rPr>
          <w:rFonts w:ascii="Times New Roman" w:eastAsia="Garamond" w:hAnsi="Times New Roman" w:cs="Times New Roman"/>
          <w:sz w:val="24"/>
          <w:szCs w:val="24"/>
          <w:lang w:val="en-US"/>
        </w:rPr>
        <w:t xml:space="preserve"> to rationalize their decisions and develop rhetorical strategies</w:t>
      </w:r>
      <w:r w:rsidR="003412BF">
        <w:rPr>
          <w:rFonts w:ascii="Times New Roman" w:eastAsia="Garamond" w:hAnsi="Times New Roman" w:cs="Times New Roman"/>
          <w:sz w:val="24"/>
          <w:szCs w:val="24"/>
          <w:lang w:val="en-US"/>
        </w:rPr>
        <w:t xml:space="preserve"> </w:t>
      </w:r>
      <w:r w:rsidR="003412BF" w:rsidRPr="00E107B9">
        <w:rPr>
          <w:rFonts w:ascii="Times New Roman" w:eastAsia="Garamond" w:hAnsi="Times New Roman" w:cs="Times New Roman"/>
          <w:sz w:val="24"/>
          <w:szCs w:val="24"/>
          <w:lang w:val="en-US"/>
        </w:rPr>
        <w:t>(Martin &amp; Richards, 1995)</w:t>
      </w:r>
      <w:r w:rsidRPr="00E107B9">
        <w:rPr>
          <w:rFonts w:ascii="Times New Roman" w:eastAsia="Garamond" w:hAnsi="Times New Roman" w:cs="Times New Roman"/>
          <w:sz w:val="24"/>
          <w:szCs w:val="24"/>
          <w:lang w:val="en-US"/>
        </w:rPr>
        <w:t>.</w:t>
      </w:r>
    </w:p>
    <w:p w14:paraId="10042F3B" w14:textId="3B6CBF04" w:rsidR="00E107B9" w:rsidRPr="00E107B9" w:rsidRDefault="00B744F7" w:rsidP="00E107B9">
      <w:pPr>
        <w:spacing w:line="360" w:lineRule="auto"/>
        <w:jc w:val="both"/>
        <w:rPr>
          <w:rFonts w:ascii="Times New Roman" w:eastAsia="Garamond" w:hAnsi="Times New Roman" w:cs="Times New Roman"/>
          <w:sz w:val="24"/>
          <w:szCs w:val="24"/>
          <w:lang w:val="en-US"/>
        </w:rPr>
      </w:pPr>
      <w:r>
        <w:rPr>
          <w:rFonts w:ascii="Times New Roman" w:hAnsi="Times New Roman" w:cs="Times New Roman"/>
          <w:sz w:val="24"/>
          <w:szCs w:val="24"/>
        </w:rPr>
        <w:t>In</w:t>
      </w:r>
      <w:r w:rsidR="00BC3893">
        <w:rPr>
          <w:rFonts w:ascii="Times New Roman" w:hAnsi="Times New Roman" w:cs="Times New Roman"/>
          <w:sz w:val="24"/>
          <w:szCs w:val="24"/>
        </w:rPr>
        <w:t xml:space="preserve"> </w:t>
      </w:r>
      <w:r w:rsidR="00CE4EFB">
        <w:rPr>
          <w:rFonts w:ascii="Times New Roman" w:hAnsi="Times New Roman" w:cs="Times New Roman"/>
          <w:sz w:val="24"/>
          <w:szCs w:val="24"/>
        </w:rPr>
        <w:t>contexts</w:t>
      </w:r>
      <w:r w:rsidR="00BC3893">
        <w:rPr>
          <w:rFonts w:ascii="Times New Roman" w:hAnsi="Times New Roman" w:cs="Times New Roman"/>
          <w:sz w:val="24"/>
          <w:szCs w:val="24"/>
        </w:rPr>
        <w:t xml:space="preserve"> </w:t>
      </w:r>
      <w:r w:rsidR="00CE4EFB">
        <w:rPr>
          <w:rFonts w:ascii="Times New Roman" w:hAnsi="Times New Roman" w:cs="Times New Roman"/>
          <w:sz w:val="24"/>
          <w:szCs w:val="24"/>
        </w:rPr>
        <w:t>that</w:t>
      </w:r>
      <w:r>
        <w:rPr>
          <w:rFonts w:ascii="Times New Roman" w:hAnsi="Times New Roman" w:cs="Times New Roman"/>
          <w:sz w:val="24"/>
          <w:szCs w:val="24"/>
        </w:rPr>
        <w:t xml:space="preserve"> are profoundly affected by processes of quantification such as the transnational governance space</w:t>
      </w:r>
      <w:r w:rsidRPr="00E107B9">
        <w:rPr>
          <w:rFonts w:ascii="Times New Roman" w:eastAsia="Garamond" w:hAnsi="Times New Roman" w:cs="Times New Roman"/>
          <w:sz w:val="24"/>
          <w:szCs w:val="24"/>
          <w:lang w:val="en-US"/>
        </w:rPr>
        <w:t xml:space="preserve"> (Mehrpouya &amp; Samiolo, 2016; </w:t>
      </w:r>
      <w:r w:rsidRPr="00E107B9">
        <w:rPr>
          <w:rFonts w:ascii="Times New Roman" w:hAnsi="Times New Roman" w:cs="Times New Roman"/>
          <w:noProof/>
          <w:sz w:val="24"/>
          <w:szCs w:val="24"/>
        </w:rPr>
        <w:t>Scheel &amp; Ustek-Spilda, 2019</w:t>
      </w:r>
      <w:r w:rsidRPr="00E107B9">
        <w:rPr>
          <w:rFonts w:ascii="Times New Roman" w:eastAsia="Garamond" w:hAnsi="Times New Roman" w:cs="Times New Roman"/>
          <w:sz w:val="24"/>
          <w:szCs w:val="24"/>
          <w:lang w:val="en-US"/>
        </w:rPr>
        <w:t>)</w:t>
      </w:r>
      <w:r>
        <w:rPr>
          <w:rFonts w:ascii="Times New Roman" w:eastAsia="Garamond" w:hAnsi="Times New Roman" w:cs="Times New Roman"/>
          <w:sz w:val="24"/>
          <w:szCs w:val="24"/>
          <w:lang w:val="en-US"/>
        </w:rPr>
        <w:t xml:space="preserve">, KC </w:t>
      </w:r>
      <w:r w:rsidR="00CE4EFB">
        <w:rPr>
          <w:rFonts w:ascii="Times New Roman" w:eastAsia="Garamond" w:hAnsi="Times New Roman" w:cs="Times New Roman"/>
          <w:sz w:val="24"/>
          <w:szCs w:val="24"/>
          <w:lang w:val="en-US"/>
        </w:rPr>
        <w:t>is</w:t>
      </w:r>
      <w:r>
        <w:rPr>
          <w:rFonts w:ascii="Times New Roman" w:eastAsia="Garamond" w:hAnsi="Times New Roman" w:cs="Times New Roman"/>
          <w:sz w:val="24"/>
          <w:szCs w:val="24"/>
          <w:lang w:val="en-US"/>
        </w:rPr>
        <w:t xml:space="preserve"> catalytic surface </w:t>
      </w:r>
      <w:r w:rsidR="00106C2C">
        <w:rPr>
          <w:rFonts w:ascii="Times New Roman" w:eastAsia="Garamond" w:hAnsi="Times New Roman" w:cs="Times New Roman"/>
          <w:sz w:val="24"/>
          <w:szCs w:val="24"/>
          <w:lang w:val="en-US"/>
        </w:rPr>
        <w:t>that pushes</w:t>
      </w:r>
      <w:r>
        <w:rPr>
          <w:rFonts w:ascii="Times New Roman" w:eastAsia="Garamond" w:hAnsi="Times New Roman" w:cs="Times New Roman"/>
          <w:sz w:val="24"/>
          <w:szCs w:val="24"/>
          <w:lang w:val="en-US"/>
        </w:rPr>
        <w:t xml:space="preserve"> </w:t>
      </w:r>
      <w:r w:rsidR="00383519">
        <w:rPr>
          <w:rFonts w:ascii="Times New Roman" w:eastAsia="Garamond" w:hAnsi="Times New Roman" w:cs="Times New Roman"/>
          <w:sz w:val="24"/>
          <w:szCs w:val="24"/>
          <w:lang w:val="en-US"/>
        </w:rPr>
        <w:t>organization</w:t>
      </w:r>
      <w:r w:rsidR="006F3E07">
        <w:rPr>
          <w:rFonts w:ascii="Times New Roman" w:eastAsia="Garamond" w:hAnsi="Times New Roman" w:cs="Times New Roman"/>
          <w:sz w:val="24"/>
          <w:szCs w:val="24"/>
          <w:lang w:val="en-US"/>
        </w:rPr>
        <w:t>s</w:t>
      </w:r>
      <w:r w:rsidR="00383519">
        <w:rPr>
          <w:rFonts w:ascii="Times New Roman" w:eastAsia="Garamond" w:hAnsi="Times New Roman" w:cs="Times New Roman"/>
          <w:sz w:val="24"/>
          <w:szCs w:val="24"/>
          <w:lang w:val="en-US"/>
        </w:rPr>
        <w:t xml:space="preserve"> to</w:t>
      </w:r>
      <w:r>
        <w:rPr>
          <w:rFonts w:ascii="Times New Roman" w:eastAsia="Garamond" w:hAnsi="Times New Roman" w:cs="Times New Roman"/>
          <w:sz w:val="24"/>
          <w:szCs w:val="24"/>
          <w:lang w:val="en-US"/>
        </w:rPr>
        <w:t xml:space="preserve"> </w:t>
      </w:r>
      <w:r w:rsidR="00383519">
        <w:rPr>
          <w:rFonts w:ascii="Times New Roman" w:eastAsia="Garamond" w:hAnsi="Times New Roman" w:cs="Times New Roman"/>
          <w:sz w:val="24"/>
          <w:szCs w:val="24"/>
          <w:lang w:val="en-US"/>
        </w:rPr>
        <w:t>question</w:t>
      </w:r>
      <w:r>
        <w:rPr>
          <w:rFonts w:ascii="Times New Roman" w:eastAsia="Garamond" w:hAnsi="Times New Roman" w:cs="Times New Roman"/>
          <w:sz w:val="24"/>
          <w:szCs w:val="24"/>
          <w:lang w:val="en-US"/>
        </w:rPr>
        <w:t xml:space="preserve"> and r</w:t>
      </w:r>
      <w:r w:rsidR="00383519">
        <w:rPr>
          <w:rFonts w:ascii="Times New Roman" w:eastAsia="Garamond" w:hAnsi="Times New Roman" w:cs="Times New Roman"/>
          <w:sz w:val="24"/>
          <w:szCs w:val="24"/>
          <w:lang w:val="en-US"/>
        </w:rPr>
        <w:t>efine the</w:t>
      </w:r>
      <w:r w:rsidR="006F3E07">
        <w:rPr>
          <w:rFonts w:ascii="Times New Roman" w:eastAsia="Garamond" w:hAnsi="Times New Roman" w:cs="Times New Roman"/>
          <w:sz w:val="24"/>
          <w:szCs w:val="24"/>
          <w:lang w:val="en-US"/>
        </w:rPr>
        <w:t>ir</w:t>
      </w:r>
      <w:r>
        <w:rPr>
          <w:rFonts w:ascii="Times New Roman" w:eastAsia="Garamond" w:hAnsi="Times New Roman" w:cs="Times New Roman"/>
          <w:sz w:val="24"/>
          <w:szCs w:val="24"/>
          <w:lang w:val="en-US"/>
        </w:rPr>
        <w:t xml:space="preserve"> measures and indicators and </w:t>
      </w:r>
      <w:r w:rsidR="00246313">
        <w:rPr>
          <w:rFonts w:ascii="Times New Roman" w:eastAsia="Garamond" w:hAnsi="Times New Roman" w:cs="Times New Roman"/>
          <w:sz w:val="24"/>
          <w:szCs w:val="24"/>
          <w:lang w:val="en-US"/>
        </w:rPr>
        <w:t>to</w:t>
      </w:r>
      <w:r>
        <w:rPr>
          <w:rFonts w:ascii="Times New Roman" w:eastAsia="Garamond" w:hAnsi="Times New Roman" w:cs="Times New Roman"/>
          <w:sz w:val="24"/>
          <w:szCs w:val="24"/>
          <w:lang w:val="en-US"/>
        </w:rPr>
        <w:t xml:space="preserve"> </w:t>
      </w:r>
      <w:r w:rsidRPr="006A6DB9">
        <w:rPr>
          <w:rFonts w:ascii="Times New Roman" w:eastAsia="Garamond" w:hAnsi="Times New Roman" w:cs="Times New Roman"/>
          <w:sz w:val="24"/>
          <w:szCs w:val="24"/>
          <w:lang w:val="en-US"/>
        </w:rPr>
        <w:t xml:space="preserve">search </w:t>
      </w:r>
      <w:r>
        <w:rPr>
          <w:rFonts w:ascii="Times New Roman" w:eastAsia="Garamond" w:hAnsi="Times New Roman" w:cs="Times New Roman"/>
          <w:sz w:val="24"/>
          <w:szCs w:val="24"/>
          <w:lang w:val="en-US"/>
        </w:rPr>
        <w:t>for</w:t>
      </w:r>
      <w:r w:rsidRPr="006A6DB9">
        <w:rPr>
          <w:rFonts w:ascii="Times New Roman" w:eastAsia="Garamond" w:hAnsi="Times New Roman" w:cs="Times New Roman"/>
          <w:sz w:val="24"/>
          <w:szCs w:val="24"/>
          <w:lang w:val="en-US"/>
        </w:rPr>
        <w:t xml:space="preserve"> innovative forms of knowledge production</w:t>
      </w:r>
      <w:r w:rsidR="006F3E07">
        <w:rPr>
          <w:rFonts w:ascii="Times New Roman" w:eastAsia="Garamond" w:hAnsi="Times New Roman" w:cs="Times New Roman"/>
          <w:sz w:val="24"/>
          <w:szCs w:val="24"/>
          <w:lang w:val="en-US"/>
        </w:rPr>
        <w:t>. And yet</w:t>
      </w:r>
      <w:r w:rsidR="00246157">
        <w:rPr>
          <w:rFonts w:ascii="Times New Roman" w:eastAsia="Garamond" w:hAnsi="Times New Roman" w:cs="Times New Roman"/>
          <w:sz w:val="24"/>
          <w:szCs w:val="24"/>
          <w:lang w:val="en-US"/>
        </w:rPr>
        <w:t>,</w:t>
      </w:r>
      <w:r w:rsidR="007E3307">
        <w:rPr>
          <w:rFonts w:ascii="Times New Roman" w:eastAsia="Garamond" w:hAnsi="Times New Roman" w:cs="Times New Roman"/>
          <w:sz w:val="24"/>
          <w:szCs w:val="24"/>
          <w:lang w:val="en-US"/>
        </w:rPr>
        <w:t xml:space="preserve"> the</w:t>
      </w:r>
      <w:r w:rsidR="00246157">
        <w:rPr>
          <w:rFonts w:ascii="Times New Roman" w:eastAsia="Garamond" w:hAnsi="Times New Roman" w:cs="Times New Roman"/>
          <w:sz w:val="24"/>
          <w:szCs w:val="24"/>
          <w:lang w:val="en-US"/>
        </w:rPr>
        <w:t xml:space="preserve"> organizational and strategic dimensions</w:t>
      </w:r>
      <w:r w:rsidR="007E3307">
        <w:rPr>
          <w:rFonts w:ascii="Times New Roman" w:eastAsia="Garamond" w:hAnsi="Times New Roman" w:cs="Times New Roman"/>
          <w:sz w:val="24"/>
          <w:szCs w:val="24"/>
          <w:lang w:val="en-US"/>
        </w:rPr>
        <w:t xml:space="preserve"> of </w:t>
      </w:r>
      <w:r w:rsidR="006F3E07">
        <w:rPr>
          <w:rFonts w:ascii="Times New Roman" w:eastAsia="Garamond" w:hAnsi="Times New Roman" w:cs="Times New Roman"/>
          <w:sz w:val="24"/>
          <w:szCs w:val="24"/>
          <w:lang w:val="en-US"/>
        </w:rPr>
        <w:t>KC</w:t>
      </w:r>
      <w:r w:rsidR="00E107B9" w:rsidRPr="00E107B9">
        <w:rPr>
          <w:rFonts w:ascii="Times New Roman" w:eastAsia="Garamond" w:hAnsi="Times New Roman" w:cs="Times New Roman"/>
          <w:sz w:val="24"/>
          <w:szCs w:val="24"/>
          <w:lang w:val="en-US"/>
        </w:rPr>
        <w:t xml:space="preserve"> are understudied. </w:t>
      </w:r>
      <w:r w:rsidR="006F3E07">
        <w:rPr>
          <w:rFonts w:ascii="Times New Roman" w:eastAsia="Garamond" w:hAnsi="Times New Roman" w:cs="Times New Roman"/>
          <w:sz w:val="24"/>
          <w:szCs w:val="24"/>
          <w:lang w:val="en-US"/>
        </w:rPr>
        <w:t>L</w:t>
      </w:r>
      <w:r w:rsidR="00F544ED">
        <w:rPr>
          <w:rFonts w:ascii="Times New Roman" w:eastAsia="Garamond" w:hAnsi="Times New Roman" w:cs="Times New Roman"/>
          <w:sz w:val="24"/>
          <w:szCs w:val="24"/>
          <w:lang w:val="en-US"/>
        </w:rPr>
        <w:t xml:space="preserve">ittle is known about </w:t>
      </w:r>
      <w:r w:rsidR="006F3E07">
        <w:rPr>
          <w:rFonts w:ascii="Times New Roman" w:eastAsia="Garamond" w:hAnsi="Times New Roman" w:cs="Times New Roman"/>
          <w:sz w:val="24"/>
          <w:szCs w:val="24"/>
          <w:lang w:val="en-US"/>
        </w:rPr>
        <w:t>how</w:t>
      </w:r>
      <w:r w:rsidR="00BC3893">
        <w:rPr>
          <w:rFonts w:ascii="Times New Roman" w:eastAsia="Garamond" w:hAnsi="Times New Roman" w:cs="Times New Roman"/>
          <w:sz w:val="24"/>
          <w:szCs w:val="24"/>
          <w:lang w:val="en-US"/>
        </w:rPr>
        <w:t xml:space="preserve"> knowledge</w:t>
      </w:r>
      <w:r w:rsidR="001A7D3A">
        <w:rPr>
          <w:rFonts w:ascii="Times New Roman" w:eastAsia="Garamond" w:hAnsi="Times New Roman" w:cs="Times New Roman"/>
          <w:sz w:val="24"/>
          <w:szCs w:val="24"/>
          <w:lang w:val="en-US"/>
        </w:rPr>
        <w:t xml:space="preserve">-intensive </w:t>
      </w:r>
      <w:r w:rsidR="009B4C8B">
        <w:rPr>
          <w:rFonts w:ascii="Times New Roman" w:eastAsia="Garamond" w:hAnsi="Times New Roman" w:cs="Times New Roman"/>
          <w:sz w:val="24"/>
          <w:szCs w:val="24"/>
          <w:lang w:val="en-US"/>
        </w:rPr>
        <w:t>organizations</w:t>
      </w:r>
      <w:r w:rsidR="001A7D3A">
        <w:rPr>
          <w:rFonts w:ascii="Times New Roman" w:eastAsia="Garamond" w:hAnsi="Times New Roman" w:cs="Times New Roman"/>
          <w:sz w:val="24"/>
          <w:szCs w:val="24"/>
          <w:lang w:val="en-US"/>
        </w:rPr>
        <w:t xml:space="preserve"> shape and react to </w:t>
      </w:r>
      <w:r w:rsidR="00CB37CC">
        <w:rPr>
          <w:rFonts w:ascii="Times New Roman" w:eastAsia="Garamond" w:hAnsi="Times New Roman" w:cs="Times New Roman"/>
          <w:sz w:val="24"/>
          <w:szCs w:val="24"/>
          <w:lang w:val="en-US"/>
        </w:rPr>
        <w:t>an</w:t>
      </w:r>
      <w:r w:rsidR="001A7D3A">
        <w:rPr>
          <w:rFonts w:ascii="Times New Roman" w:eastAsia="Garamond" w:hAnsi="Times New Roman" w:cs="Times New Roman"/>
          <w:sz w:val="24"/>
          <w:szCs w:val="24"/>
          <w:lang w:val="en-US"/>
        </w:rPr>
        <w:t xml:space="preserve"> ongoing (rather than isolated) controver</w:t>
      </w:r>
      <w:r w:rsidR="0069092E">
        <w:rPr>
          <w:rFonts w:ascii="Times New Roman" w:eastAsia="Garamond" w:hAnsi="Times New Roman" w:cs="Times New Roman"/>
          <w:sz w:val="24"/>
          <w:szCs w:val="24"/>
          <w:lang w:val="en-US"/>
        </w:rPr>
        <w:t>sy and what</w:t>
      </w:r>
      <w:r w:rsidR="00BC4560">
        <w:rPr>
          <w:rFonts w:ascii="Times New Roman" w:eastAsia="Garamond" w:hAnsi="Times New Roman" w:cs="Times New Roman"/>
          <w:sz w:val="24"/>
          <w:szCs w:val="24"/>
          <w:lang w:val="en-US"/>
        </w:rPr>
        <w:t xml:space="preserve"> new epistemic, political</w:t>
      </w:r>
      <w:r w:rsidR="006F3E07">
        <w:rPr>
          <w:rFonts w:ascii="Times New Roman" w:eastAsia="Garamond" w:hAnsi="Times New Roman" w:cs="Times New Roman"/>
          <w:sz w:val="24"/>
          <w:szCs w:val="24"/>
          <w:lang w:val="en-US"/>
        </w:rPr>
        <w:t>,</w:t>
      </w:r>
      <w:r w:rsidR="00BC4560">
        <w:rPr>
          <w:rFonts w:ascii="Times New Roman" w:eastAsia="Garamond" w:hAnsi="Times New Roman" w:cs="Times New Roman"/>
          <w:sz w:val="24"/>
          <w:szCs w:val="24"/>
          <w:lang w:val="en-US"/>
        </w:rPr>
        <w:t xml:space="preserve"> and </w:t>
      </w:r>
      <w:r w:rsidR="00CE4EFB">
        <w:rPr>
          <w:rFonts w:ascii="Times New Roman" w:eastAsia="Garamond" w:hAnsi="Times New Roman" w:cs="Times New Roman"/>
          <w:sz w:val="24"/>
          <w:szCs w:val="24"/>
          <w:lang w:val="en-US"/>
        </w:rPr>
        <w:t>strategic arrangements</w:t>
      </w:r>
      <w:r w:rsidR="00BC4560">
        <w:rPr>
          <w:rFonts w:ascii="Times New Roman" w:eastAsia="Garamond" w:hAnsi="Times New Roman" w:cs="Times New Roman"/>
          <w:sz w:val="24"/>
          <w:szCs w:val="24"/>
          <w:lang w:val="en-US"/>
        </w:rPr>
        <w:t xml:space="preserve"> emerge </w:t>
      </w:r>
      <w:r w:rsidR="006F3E07">
        <w:rPr>
          <w:rFonts w:ascii="Times New Roman" w:eastAsia="Garamond" w:hAnsi="Times New Roman" w:cs="Times New Roman"/>
          <w:sz w:val="24"/>
          <w:szCs w:val="24"/>
          <w:lang w:val="en-US"/>
        </w:rPr>
        <w:t xml:space="preserve">from </w:t>
      </w:r>
      <w:r w:rsidR="00BC4560">
        <w:rPr>
          <w:rFonts w:ascii="Times New Roman" w:eastAsia="Garamond" w:hAnsi="Times New Roman" w:cs="Times New Roman"/>
          <w:sz w:val="24"/>
          <w:szCs w:val="24"/>
          <w:lang w:val="en-US"/>
        </w:rPr>
        <w:t xml:space="preserve">the </w:t>
      </w:r>
      <w:r w:rsidR="00CE4EFB">
        <w:rPr>
          <w:rFonts w:ascii="Times New Roman" w:eastAsia="Garamond" w:hAnsi="Times New Roman" w:cs="Times New Roman"/>
          <w:sz w:val="24"/>
          <w:szCs w:val="24"/>
          <w:lang w:val="en-US"/>
        </w:rPr>
        <w:t>tensions</w:t>
      </w:r>
      <w:r w:rsidR="00BC4560">
        <w:rPr>
          <w:rFonts w:ascii="Times New Roman" w:eastAsia="Garamond" w:hAnsi="Times New Roman" w:cs="Times New Roman"/>
          <w:sz w:val="24"/>
          <w:szCs w:val="24"/>
          <w:lang w:val="en-US"/>
        </w:rPr>
        <w:t xml:space="preserve"> </w:t>
      </w:r>
      <w:r w:rsidR="00C22D4B">
        <w:rPr>
          <w:rFonts w:ascii="Times New Roman" w:eastAsia="Garamond" w:hAnsi="Times New Roman" w:cs="Times New Roman"/>
          <w:sz w:val="24"/>
          <w:szCs w:val="24"/>
          <w:lang w:val="en-US"/>
        </w:rPr>
        <w:t xml:space="preserve">among </w:t>
      </w:r>
      <w:r w:rsidR="00BC4560">
        <w:rPr>
          <w:rFonts w:ascii="Times New Roman" w:eastAsia="Garamond" w:hAnsi="Times New Roman" w:cs="Times New Roman"/>
          <w:sz w:val="24"/>
          <w:szCs w:val="24"/>
          <w:lang w:val="en-US"/>
        </w:rPr>
        <w:t xml:space="preserve">knowledge claims. </w:t>
      </w:r>
      <w:r w:rsidR="00E107B9" w:rsidRPr="00E107B9">
        <w:rPr>
          <w:rFonts w:ascii="Times New Roman" w:eastAsia="Garamond" w:hAnsi="Times New Roman" w:cs="Times New Roman"/>
          <w:sz w:val="24"/>
          <w:szCs w:val="24"/>
          <w:lang w:val="en-US"/>
        </w:rPr>
        <w:t xml:space="preserve">In what follows, building on insights from the </w:t>
      </w:r>
      <w:r w:rsidR="00E107B9" w:rsidRPr="00E107B9">
        <w:rPr>
          <w:rFonts w:ascii="Times New Roman" w:eastAsia="Garamond" w:hAnsi="Times New Roman" w:cs="Times New Roman"/>
          <w:i/>
          <w:sz w:val="24"/>
          <w:szCs w:val="24"/>
          <w:lang w:val="en-US"/>
        </w:rPr>
        <w:t>sociology of valuation</w:t>
      </w:r>
      <w:r w:rsidR="00E107B9" w:rsidRPr="00E107B9">
        <w:rPr>
          <w:rFonts w:ascii="Times New Roman" w:eastAsia="Garamond" w:hAnsi="Times New Roman" w:cs="Times New Roman"/>
          <w:sz w:val="24"/>
          <w:szCs w:val="24"/>
          <w:lang w:val="en-US"/>
        </w:rPr>
        <w:t>, we seek to expan</w:t>
      </w:r>
      <w:r w:rsidR="007C4073">
        <w:rPr>
          <w:rFonts w:ascii="Times New Roman" w:eastAsia="Garamond" w:hAnsi="Times New Roman" w:cs="Times New Roman"/>
          <w:sz w:val="24"/>
          <w:szCs w:val="24"/>
          <w:lang w:val="en-US"/>
        </w:rPr>
        <w:t xml:space="preserve">d the </w:t>
      </w:r>
      <w:r w:rsidR="00C22D4B">
        <w:rPr>
          <w:rFonts w:ascii="Times New Roman" w:eastAsia="Garamond" w:hAnsi="Times New Roman" w:cs="Times New Roman"/>
          <w:sz w:val="24"/>
          <w:szCs w:val="24"/>
          <w:lang w:val="en-US"/>
        </w:rPr>
        <w:t>understanding</w:t>
      </w:r>
      <w:r w:rsidR="007C4073">
        <w:rPr>
          <w:rFonts w:ascii="Times New Roman" w:eastAsia="Garamond" w:hAnsi="Times New Roman" w:cs="Times New Roman"/>
          <w:sz w:val="24"/>
          <w:szCs w:val="24"/>
          <w:lang w:val="en-US"/>
        </w:rPr>
        <w:t xml:space="preserve"> </w:t>
      </w:r>
      <w:r w:rsidR="00905AFE">
        <w:rPr>
          <w:rFonts w:ascii="Times New Roman" w:eastAsia="Garamond" w:hAnsi="Times New Roman" w:cs="Times New Roman"/>
          <w:sz w:val="24"/>
          <w:szCs w:val="24"/>
          <w:lang w:val="en-US"/>
        </w:rPr>
        <w:t xml:space="preserve">of ongoing </w:t>
      </w:r>
      <w:r w:rsidR="00C22D4B">
        <w:rPr>
          <w:rFonts w:ascii="Times New Roman" w:eastAsia="Garamond" w:hAnsi="Times New Roman" w:cs="Times New Roman"/>
          <w:sz w:val="24"/>
          <w:szCs w:val="24"/>
          <w:lang w:val="en-US"/>
        </w:rPr>
        <w:t>KC</w:t>
      </w:r>
      <w:r w:rsidR="00905AFE">
        <w:rPr>
          <w:rFonts w:ascii="Times New Roman" w:eastAsia="Garamond" w:hAnsi="Times New Roman" w:cs="Times New Roman"/>
          <w:sz w:val="24"/>
          <w:szCs w:val="24"/>
          <w:lang w:val="en-US"/>
        </w:rPr>
        <w:t xml:space="preserve"> in terms of struggle</w:t>
      </w:r>
      <w:r w:rsidR="00106C2C">
        <w:rPr>
          <w:rFonts w:ascii="Times New Roman" w:eastAsia="Garamond" w:hAnsi="Times New Roman" w:cs="Times New Roman"/>
          <w:sz w:val="24"/>
          <w:szCs w:val="24"/>
          <w:lang w:val="en-US"/>
        </w:rPr>
        <w:t>s</w:t>
      </w:r>
      <w:r w:rsidR="00905AFE">
        <w:rPr>
          <w:rFonts w:ascii="Times New Roman" w:eastAsia="Garamond" w:hAnsi="Times New Roman" w:cs="Times New Roman"/>
          <w:sz w:val="24"/>
          <w:szCs w:val="24"/>
          <w:lang w:val="en-US"/>
        </w:rPr>
        <w:t xml:space="preserve"> over value. </w:t>
      </w:r>
    </w:p>
    <w:p w14:paraId="518D28CC" w14:textId="3CF376B4" w:rsidR="00453B06" w:rsidRPr="006A153E" w:rsidRDefault="00453B06" w:rsidP="006043F1">
      <w:pPr>
        <w:pStyle w:val="ListParagraph"/>
        <w:numPr>
          <w:ilvl w:val="1"/>
          <w:numId w:val="2"/>
        </w:numPr>
        <w:spacing w:line="360" w:lineRule="auto"/>
        <w:jc w:val="both"/>
        <w:rPr>
          <w:rFonts w:ascii="Times New Roman" w:eastAsia="Garamond" w:hAnsi="Times New Roman" w:cs="Times New Roman"/>
          <w:b/>
          <w:sz w:val="24"/>
          <w:szCs w:val="24"/>
          <w:lang w:val="en-US"/>
        </w:rPr>
      </w:pPr>
      <w:r w:rsidRPr="006A153E">
        <w:rPr>
          <w:rFonts w:ascii="Times New Roman" w:eastAsia="Garamond" w:hAnsi="Times New Roman" w:cs="Times New Roman"/>
          <w:b/>
          <w:sz w:val="24"/>
          <w:szCs w:val="24"/>
          <w:lang w:val="en-US"/>
        </w:rPr>
        <w:t xml:space="preserve"> Valuation practices within the epistemic machineries of knowledge production</w:t>
      </w:r>
    </w:p>
    <w:p w14:paraId="3805453F" w14:textId="6EA26673" w:rsidR="00E13C20" w:rsidRDefault="00E107B9" w:rsidP="00453B06">
      <w:pPr>
        <w:spacing w:line="360" w:lineRule="auto"/>
        <w:jc w:val="both"/>
        <w:rPr>
          <w:rFonts w:ascii="Times New Roman" w:eastAsia="Garamond" w:hAnsi="Times New Roman" w:cs="Times New Roman"/>
          <w:sz w:val="24"/>
          <w:szCs w:val="24"/>
          <w:lang w:val="en-US"/>
        </w:rPr>
      </w:pPr>
      <w:r w:rsidRPr="00453B06">
        <w:rPr>
          <w:rFonts w:ascii="Times New Roman" w:eastAsia="Garamond" w:hAnsi="Times New Roman" w:cs="Times New Roman"/>
          <w:sz w:val="24"/>
          <w:szCs w:val="24"/>
          <w:lang w:val="en-US"/>
        </w:rPr>
        <w:t xml:space="preserve">Recent years have witnessed a surge in interest in the interdisciplinary study of social processes of valuation (e.g. Stark, 2009; Beckert &amp; Aspers, 2011; Lamont, 2012). This eclectic field of study has pushed interdisciplinary boundaries of economic sociology, STS, organization </w:t>
      </w:r>
      <w:r w:rsidRPr="00453B06">
        <w:rPr>
          <w:rFonts w:ascii="Times New Roman" w:eastAsia="Garamond" w:hAnsi="Times New Roman" w:cs="Times New Roman"/>
          <w:sz w:val="24"/>
          <w:szCs w:val="24"/>
          <w:lang w:val="en-US"/>
        </w:rPr>
        <w:lastRenderedPageBreak/>
        <w:t xml:space="preserve">studies, </w:t>
      </w:r>
      <w:r w:rsidR="00BD7546">
        <w:rPr>
          <w:rFonts w:ascii="Times New Roman" w:eastAsia="Garamond" w:hAnsi="Times New Roman" w:cs="Times New Roman"/>
          <w:sz w:val="24"/>
          <w:szCs w:val="24"/>
          <w:lang w:val="en-US"/>
        </w:rPr>
        <w:t>human geography</w:t>
      </w:r>
      <w:r w:rsidR="00E13C20">
        <w:rPr>
          <w:rFonts w:ascii="Times New Roman" w:eastAsia="Garamond" w:hAnsi="Times New Roman" w:cs="Times New Roman"/>
          <w:sz w:val="24"/>
          <w:szCs w:val="24"/>
          <w:lang w:val="en-US"/>
        </w:rPr>
        <w:t>,</w:t>
      </w:r>
      <w:r w:rsidRPr="00453B06">
        <w:rPr>
          <w:rFonts w:ascii="Times New Roman" w:eastAsia="Garamond" w:hAnsi="Times New Roman" w:cs="Times New Roman"/>
          <w:sz w:val="24"/>
          <w:szCs w:val="24"/>
          <w:lang w:val="en-US"/>
        </w:rPr>
        <w:t xml:space="preserve"> and even developed ad hoc publication outlets (see Helgesson &amp; Muniesa, 2013). At the center of this approach</w:t>
      </w:r>
      <w:r w:rsidR="00741951" w:rsidRPr="00453B06">
        <w:rPr>
          <w:rFonts w:ascii="Times New Roman" w:eastAsia="Garamond" w:hAnsi="Times New Roman" w:cs="Times New Roman"/>
          <w:sz w:val="24"/>
          <w:szCs w:val="24"/>
          <w:lang w:val="en-US"/>
        </w:rPr>
        <w:t xml:space="preserve"> </w:t>
      </w:r>
      <w:r w:rsidRPr="00453B06">
        <w:rPr>
          <w:rFonts w:ascii="Times New Roman" w:eastAsia="Garamond" w:hAnsi="Times New Roman" w:cs="Times New Roman"/>
          <w:sz w:val="24"/>
          <w:szCs w:val="24"/>
          <w:lang w:val="en-US"/>
        </w:rPr>
        <w:t xml:space="preserve">there is a “shift from value (a noun, a property) to valuation (a process, a practical action)” (Stark, 2011, p.335). From this perspective, </w:t>
      </w:r>
      <w:r w:rsidRPr="00453B06">
        <w:rPr>
          <w:rFonts w:ascii="Times New Roman" w:hAnsi="Times New Roman"/>
          <w:sz w:val="24"/>
          <w:lang w:val="en-US"/>
        </w:rPr>
        <w:t>valuation is a process “where the value or values of something are established, assessed, negotiated, provoked, maintained, constructed and/or contested</w:t>
      </w:r>
      <w:r w:rsidRPr="00453B06">
        <w:rPr>
          <w:rFonts w:ascii="Times New Roman" w:eastAsia="Garamond" w:hAnsi="Times New Roman" w:cs="Times New Roman"/>
          <w:sz w:val="24"/>
          <w:szCs w:val="24"/>
          <w:lang w:val="en-US"/>
        </w:rPr>
        <w:t>”</w:t>
      </w:r>
      <w:r w:rsidR="00E13C20">
        <w:rPr>
          <w:rFonts w:ascii="Times New Roman" w:eastAsia="Garamond" w:hAnsi="Times New Roman" w:cs="Times New Roman"/>
          <w:sz w:val="24"/>
          <w:szCs w:val="24"/>
          <w:lang w:val="en-US"/>
        </w:rPr>
        <w:t xml:space="preserve"> (Doganova et al., 2014, p.87).</w:t>
      </w:r>
    </w:p>
    <w:p w14:paraId="62326605" w14:textId="2DDA7CF4" w:rsidR="00E107B9" w:rsidRPr="00453B06" w:rsidRDefault="00E107B9" w:rsidP="00453B06">
      <w:pPr>
        <w:spacing w:line="360" w:lineRule="auto"/>
        <w:jc w:val="both"/>
        <w:rPr>
          <w:rFonts w:ascii="Times New Roman" w:eastAsia="Garamond" w:hAnsi="Times New Roman" w:cs="Times New Roman"/>
          <w:sz w:val="24"/>
          <w:szCs w:val="24"/>
          <w:lang w:val="en-US"/>
        </w:rPr>
      </w:pPr>
      <w:r w:rsidRPr="00453B06">
        <w:rPr>
          <w:rFonts w:ascii="Times New Roman" w:eastAsia="Garamond" w:hAnsi="Times New Roman" w:cs="Times New Roman"/>
          <w:sz w:val="24"/>
          <w:szCs w:val="24"/>
          <w:lang w:val="en-US"/>
        </w:rPr>
        <w:t xml:space="preserve">While some scholars have argued for a differentiation between valuation practices (i.e. processes were value or worth is </w:t>
      </w:r>
      <w:r w:rsidRPr="00453B06">
        <w:rPr>
          <w:rFonts w:ascii="Times New Roman" w:eastAsia="Garamond" w:hAnsi="Times New Roman" w:cs="Times New Roman"/>
          <w:i/>
          <w:sz w:val="24"/>
          <w:szCs w:val="24"/>
          <w:lang w:val="en-US"/>
        </w:rPr>
        <w:t>created</w:t>
      </w:r>
      <w:r w:rsidRPr="00453B06">
        <w:rPr>
          <w:rFonts w:ascii="Times New Roman" w:eastAsia="Garamond" w:hAnsi="Times New Roman" w:cs="Times New Roman"/>
          <w:sz w:val="24"/>
          <w:szCs w:val="24"/>
          <w:lang w:val="en-US"/>
        </w:rPr>
        <w:t xml:space="preserve">) and evaluative practices (i.e. social practices trough which entities </w:t>
      </w:r>
      <w:r w:rsidRPr="00453B06">
        <w:rPr>
          <w:rFonts w:ascii="Times New Roman" w:eastAsia="Garamond" w:hAnsi="Times New Roman" w:cs="Times New Roman"/>
          <w:i/>
          <w:sz w:val="24"/>
          <w:szCs w:val="24"/>
          <w:lang w:val="en-US"/>
        </w:rPr>
        <w:t>attain</w:t>
      </w:r>
      <w:r w:rsidRPr="00453B06">
        <w:rPr>
          <w:rFonts w:ascii="Times New Roman" w:eastAsia="Garamond" w:hAnsi="Times New Roman" w:cs="Times New Roman"/>
          <w:sz w:val="24"/>
          <w:szCs w:val="24"/>
          <w:lang w:val="en-US"/>
        </w:rPr>
        <w:t xml:space="preserve"> a specific worth) (Vatin, 2013), other</w:t>
      </w:r>
      <w:r w:rsidR="009B4C8B">
        <w:rPr>
          <w:rFonts w:ascii="Times New Roman" w:eastAsia="Garamond" w:hAnsi="Times New Roman" w:cs="Times New Roman"/>
          <w:sz w:val="24"/>
          <w:szCs w:val="24"/>
          <w:lang w:val="en-US"/>
        </w:rPr>
        <w:t>s</w:t>
      </w:r>
      <w:r w:rsidRPr="00453B06">
        <w:rPr>
          <w:rFonts w:ascii="Times New Roman" w:eastAsia="Garamond" w:hAnsi="Times New Roman" w:cs="Times New Roman"/>
          <w:sz w:val="24"/>
          <w:szCs w:val="24"/>
          <w:lang w:val="en-US"/>
        </w:rPr>
        <w:t xml:space="preserve"> </w:t>
      </w:r>
      <w:r w:rsidR="00BD7546">
        <w:rPr>
          <w:rFonts w:ascii="Times New Roman" w:eastAsia="Garamond" w:hAnsi="Times New Roman" w:cs="Times New Roman"/>
          <w:sz w:val="24"/>
          <w:szCs w:val="24"/>
          <w:lang w:val="en-US"/>
        </w:rPr>
        <w:t>contend</w:t>
      </w:r>
      <w:r w:rsidRPr="00453B06">
        <w:rPr>
          <w:rFonts w:ascii="Times New Roman" w:eastAsia="Garamond" w:hAnsi="Times New Roman" w:cs="Times New Roman"/>
          <w:sz w:val="24"/>
          <w:szCs w:val="24"/>
          <w:lang w:val="en-US"/>
        </w:rPr>
        <w:t xml:space="preserve"> that such practices are mutually constitutive (Kornberger et al., 2015) and called for the investigation of the politics of ‘moments’ and ‘sites’ of valuation (Berthoin-Antal et al., 2015)</w:t>
      </w:r>
      <w:r w:rsidR="00E13C20">
        <w:rPr>
          <w:rFonts w:ascii="Times New Roman" w:eastAsia="Garamond" w:hAnsi="Times New Roman" w:cs="Times New Roman"/>
          <w:sz w:val="24"/>
          <w:szCs w:val="24"/>
          <w:lang w:val="en-US"/>
        </w:rPr>
        <w:t xml:space="preserve">. Importantly, </w:t>
      </w:r>
      <w:r w:rsidR="00E13C20" w:rsidRPr="00E13C20">
        <w:rPr>
          <w:rFonts w:ascii="Times New Roman" w:eastAsia="Garamond" w:hAnsi="Times New Roman" w:cs="Times New Roman"/>
          <w:sz w:val="24"/>
          <w:szCs w:val="24"/>
          <w:lang w:val="en-US"/>
        </w:rPr>
        <w:t>p</w:t>
      </w:r>
      <w:r w:rsidR="00E13C20">
        <w:rPr>
          <w:rFonts w:ascii="Times New Roman" w:eastAsia="Garamond" w:hAnsi="Times New Roman" w:cs="Times New Roman"/>
          <w:sz w:val="24"/>
          <w:szCs w:val="24"/>
          <w:lang w:val="en-US"/>
        </w:rPr>
        <w:t>rocesses of valuation occur in</w:t>
      </w:r>
      <w:r w:rsidR="00E13C20" w:rsidRPr="00E13C20">
        <w:rPr>
          <w:rFonts w:ascii="Times New Roman" w:eastAsia="Garamond" w:hAnsi="Times New Roman" w:cs="Times New Roman"/>
          <w:sz w:val="24"/>
          <w:szCs w:val="24"/>
          <w:lang w:val="en-US"/>
        </w:rPr>
        <w:t xml:space="preserve"> ‘market</w:t>
      </w:r>
      <w:r w:rsidR="00E13C20">
        <w:rPr>
          <w:rFonts w:ascii="Times New Roman" w:eastAsia="Garamond" w:hAnsi="Times New Roman" w:cs="Times New Roman"/>
          <w:sz w:val="24"/>
          <w:szCs w:val="24"/>
          <w:lang w:val="en-US"/>
        </w:rPr>
        <w:t>s’ understood as</w:t>
      </w:r>
      <w:r w:rsidR="00E13C20" w:rsidRPr="00E13C20">
        <w:rPr>
          <w:rFonts w:ascii="Times New Roman" w:eastAsia="Garamond" w:hAnsi="Times New Roman" w:cs="Times New Roman"/>
          <w:sz w:val="24"/>
          <w:szCs w:val="24"/>
          <w:lang w:val="en-US"/>
        </w:rPr>
        <w:t xml:space="preserve"> space</w:t>
      </w:r>
      <w:r w:rsidR="00E13C20">
        <w:rPr>
          <w:rFonts w:ascii="Times New Roman" w:eastAsia="Garamond" w:hAnsi="Times New Roman" w:cs="Times New Roman"/>
          <w:sz w:val="24"/>
          <w:szCs w:val="24"/>
          <w:lang w:val="en-US"/>
        </w:rPr>
        <w:t>s</w:t>
      </w:r>
      <w:r w:rsidR="009B4C8B">
        <w:rPr>
          <w:rFonts w:ascii="Times New Roman" w:eastAsia="Garamond" w:hAnsi="Times New Roman" w:cs="Times New Roman"/>
          <w:sz w:val="24"/>
          <w:szCs w:val="24"/>
          <w:lang w:val="en-US"/>
        </w:rPr>
        <w:t xml:space="preserve"> of</w:t>
      </w:r>
      <w:r w:rsidR="00E13C20" w:rsidRPr="00E13C20">
        <w:rPr>
          <w:rFonts w:ascii="Times New Roman" w:eastAsia="Garamond" w:hAnsi="Times New Roman" w:cs="Times New Roman"/>
          <w:sz w:val="24"/>
          <w:szCs w:val="24"/>
          <w:lang w:val="en-US"/>
        </w:rPr>
        <w:t xml:space="preserve"> symbolic exchange </w:t>
      </w:r>
      <w:r w:rsidR="00E13C20">
        <w:rPr>
          <w:rFonts w:ascii="Times New Roman" w:eastAsia="Garamond" w:hAnsi="Times New Roman" w:cs="Times New Roman"/>
          <w:sz w:val="24"/>
          <w:szCs w:val="24"/>
          <w:lang w:val="en-US"/>
        </w:rPr>
        <w:t xml:space="preserve">(Simmel, 2008). </w:t>
      </w:r>
      <w:r w:rsidR="00303C8F">
        <w:rPr>
          <w:rFonts w:ascii="Times New Roman" w:eastAsia="Garamond" w:hAnsi="Times New Roman" w:cs="Times New Roman"/>
          <w:sz w:val="24"/>
          <w:szCs w:val="24"/>
          <w:lang w:val="en-US"/>
        </w:rPr>
        <w:t xml:space="preserve">In such spaces, </w:t>
      </w:r>
      <w:r w:rsidR="00E13C20" w:rsidRPr="00E13C20">
        <w:rPr>
          <w:rFonts w:ascii="Times New Roman" w:eastAsia="Garamond" w:hAnsi="Times New Roman" w:cs="Times New Roman"/>
          <w:sz w:val="24"/>
          <w:szCs w:val="24"/>
          <w:lang w:val="en-US"/>
        </w:rPr>
        <w:t>competition can be witnessed as a public p</w:t>
      </w:r>
      <w:r w:rsidR="0043327D">
        <w:rPr>
          <w:rFonts w:ascii="Times New Roman" w:eastAsia="Garamond" w:hAnsi="Times New Roman" w:cs="Times New Roman"/>
          <w:sz w:val="24"/>
          <w:szCs w:val="24"/>
          <w:lang w:val="en-US"/>
        </w:rPr>
        <w:t>erformance in which competitors are the “</w:t>
      </w:r>
      <w:r w:rsidR="00E13C20" w:rsidRPr="00E13C20">
        <w:rPr>
          <w:rFonts w:ascii="Times New Roman" w:eastAsia="Garamond" w:hAnsi="Times New Roman" w:cs="Times New Roman"/>
          <w:sz w:val="24"/>
          <w:szCs w:val="24"/>
          <w:lang w:val="en-US"/>
        </w:rPr>
        <w:t xml:space="preserve">public’s representatives in [an] apparent exercise of free will, which occurs mostly in carefully controlled, if not staged, environments” (Preda, 2017, p.96). From this perspective, the forms and objects of competition are staged </w:t>
      </w:r>
      <w:r w:rsidR="0043327D">
        <w:rPr>
          <w:rFonts w:ascii="Times New Roman" w:eastAsia="Garamond" w:hAnsi="Times New Roman" w:cs="Times New Roman"/>
          <w:sz w:val="24"/>
          <w:szCs w:val="24"/>
          <w:lang w:val="en-US"/>
        </w:rPr>
        <w:t xml:space="preserve">and evaluated </w:t>
      </w:r>
      <w:r w:rsidR="00E13C20" w:rsidRPr="00E13C20">
        <w:rPr>
          <w:rFonts w:ascii="Times New Roman" w:eastAsia="Garamond" w:hAnsi="Times New Roman" w:cs="Times New Roman"/>
          <w:sz w:val="24"/>
          <w:szCs w:val="24"/>
          <w:lang w:val="en-US"/>
        </w:rPr>
        <w:t>as scarce goods by a variety of often black-boxed processes (Werron, 2015).</w:t>
      </w:r>
      <w:r w:rsidR="00303C8F" w:rsidRPr="00303C8F">
        <w:t xml:space="preserve"> </w:t>
      </w:r>
    </w:p>
    <w:p w14:paraId="71E85FCB" w14:textId="11203F77" w:rsidR="00E13C20" w:rsidRDefault="00E107B9" w:rsidP="00E107B9">
      <w:pPr>
        <w:spacing w:line="360" w:lineRule="auto"/>
        <w:jc w:val="both"/>
        <w:rPr>
          <w:rFonts w:ascii="Times New Roman" w:eastAsia="Garamond" w:hAnsi="Times New Roman" w:cs="Times New Roman"/>
          <w:sz w:val="24"/>
          <w:szCs w:val="24"/>
          <w:lang w:val="en-US"/>
        </w:rPr>
      </w:pPr>
      <w:r w:rsidRPr="00E107B9">
        <w:rPr>
          <w:rFonts w:ascii="Times New Roman" w:eastAsia="Garamond" w:hAnsi="Times New Roman" w:cs="Times New Roman"/>
          <w:sz w:val="24"/>
          <w:szCs w:val="24"/>
          <w:lang w:val="en-US"/>
        </w:rPr>
        <w:t>STS research pointed to links between processes of valuation and ‘machineries of k</w:t>
      </w:r>
      <w:r w:rsidR="00453B06">
        <w:rPr>
          <w:rFonts w:ascii="Times New Roman" w:eastAsia="Garamond" w:hAnsi="Times New Roman" w:cs="Times New Roman"/>
          <w:sz w:val="24"/>
          <w:szCs w:val="24"/>
          <w:lang w:val="en-US"/>
        </w:rPr>
        <w:t>nowledge production’ (K</w:t>
      </w:r>
      <w:r w:rsidRPr="00E107B9">
        <w:rPr>
          <w:rFonts w:ascii="Times New Roman" w:eastAsia="Garamond" w:hAnsi="Times New Roman" w:cs="Times New Roman"/>
          <w:sz w:val="24"/>
          <w:szCs w:val="24"/>
          <w:lang w:val="en-US"/>
        </w:rPr>
        <w:t xml:space="preserve">norr-Cetina, 1999) exploring how different forms of </w:t>
      </w:r>
      <w:r w:rsidR="00D27C14">
        <w:rPr>
          <w:rFonts w:ascii="Times New Roman" w:eastAsia="Garamond" w:hAnsi="Times New Roman" w:cs="Times New Roman"/>
          <w:sz w:val="24"/>
          <w:szCs w:val="24"/>
          <w:lang w:val="en-US"/>
        </w:rPr>
        <w:t>value</w:t>
      </w:r>
      <w:r w:rsidRPr="00E107B9">
        <w:rPr>
          <w:rFonts w:ascii="Times New Roman" w:eastAsia="Garamond" w:hAnsi="Times New Roman" w:cs="Times New Roman"/>
          <w:sz w:val="24"/>
          <w:szCs w:val="24"/>
          <w:lang w:val="en-US"/>
        </w:rPr>
        <w:t xml:space="preserve"> are produced, accumulated, and assigned in different academic settings. Much of this research builds on the long-standing work utilizing the metaphor of capitalism to understand acade</w:t>
      </w:r>
      <w:r w:rsidR="006F1973">
        <w:rPr>
          <w:rFonts w:ascii="Times New Roman" w:eastAsia="Garamond" w:hAnsi="Times New Roman" w:cs="Times New Roman"/>
          <w:sz w:val="24"/>
          <w:szCs w:val="24"/>
          <w:lang w:val="en-US"/>
        </w:rPr>
        <w:t>mic research production (Latour, 1987</w:t>
      </w:r>
      <w:r w:rsidRPr="00E107B9">
        <w:rPr>
          <w:rFonts w:ascii="Times New Roman" w:eastAsia="Garamond" w:hAnsi="Times New Roman" w:cs="Times New Roman"/>
          <w:sz w:val="24"/>
          <w:szCs w:val="24"/>
          <w:lang w:val="en-US"/>
        </w:rPr>
        <w:t xml:space="preserve">). Fochler </w:t>
      </w:r>
      <w:r w:rsidR="00453B06">
        <w:rPr>
          <w:rFonts w:ascii="Times New Roman" w:eastAsia="Garamond" w:hAnsi="Times New Roman" w:cs="Times New Roman"/>
          <w:sz w:val="24"/>
          <w:szCs w:val="24"/>
          <w:lang w:val="en-US"/>
        </w:rPr>
        <w:fldChar w:fldCharType="begin" w:fldLock="1"/>
      </w:r>
      <w:r w:rsidR="00453B06">
        <w:rPr>
          <w:rFonts w:ascii="Times New Roman" w:eastAsia="Garamond" w:hAnsi="Times New Roman" w:cs="Times New Roman"/>
          <w:sz w:val="24"/>
          <w:szCs w:val="24"/>
          <w:lang w:val="en-US"/>
        </w:rPr>
        <w:instrText>ADDIN CSL_CITATION {"citationItems":[{"id":"ITEM-1","itemData":{"DOI":"10.1177/0162243916652224","ISSN":"15528251","abstract":"Capitalist dynamics in knowledge production are not limited to situations in which economic interests influence researchers’ practices. Building on laboratory studies and the French “pragmatic” tradition in sociology, this article proposes an approach to tackle more pervasive capitalist logics at work in contemporary research and their consequences. It uses the term epistemic capitalism to denote the accumulation of capital, as worth made durable, through the act of doing research, in and beyond academia. In doing so, it conceptualizes capitalism primarily not as a system of circulation and accumulation of monetary value but rather as a cultural way of producing, attributing, and accumulating specific forms of worth, which need not be monetary. Empirically, the article studies variants in epistemic capitalism by addressing the differing role of the accumulation of different forms of capital and the regimes connected to it in two institutional settings in Austria, academic life science laboratories and biotechnology start-up companies. Concluding, it argues that analytically dissociating the concept of capitalism from its link to economic value allows a finer-grained cultural analysis of the importance and effects of processes of accumulation in contemporary research. It ends with discussing the normative implications of these findings for debates about the commercialization of academia.","author":[{"dropping-particle":"","family":"Fochler","given":"Maximilian","non-dropping-particle":"","parse-names":false,"suffix":""}],"container-title":"Science Technology and Human Values","id":"ITEM-1","issue":"5","issued":{"date-parts":[["2016"]]},"page":"922-948","title":"Variants of Epistemic Capitalism: Knowledge Production and the Accumulation of Worth in Commercial Biotechnology and the Academic Life Sciences","type":"article-journal","volume":"41"},"suppress-author":1,"uris":["http://www.mendeley.com/documents/?uuid=64674336-377b-4dc2-87ab-2c3e04ccae90"]}],"mendeley":{"formattedCitation":"(2016)","plainTextFormattedCitation":"(2016)","previouslyFormattedCitation":"(2016)"},"properties":{"noteIndex":0},"schema":"https://github.com/citation-style-language/schema/raw/master/csl-citation.json"}</w:instrText>
      </w:r>
      <w:r w:rsidR="00453B06">
        <w:rPr>
          <w:rFonts w:ascii="Times New Roman" w:eastAsia="Garamond" w:hAnsi="Times New Roman" w:cs="Times New Roman"/>
          <w:sz w:val="24"/>
          <w:szCs w:val="24"/>
          <w:lang w:val="en-US"/>
        </w:rPr>
        <w:fldChar w:fldCharType="separate"/>
      </w:r>
      <w:r w:rsidR="00453B06" w:rsidRPr="00453B06">
        <w:rPr>
          <w:rFonts w:ascii="Times New Roman" w:eastAsia="Garamond" w:hAnsi="Times New Roman" w:cs="Times New Roman"/>
          <w:noProof/>
          <w:sz w:val="24"/>
          <w:szCs w:val="24"/>
          <w:lang w:val="en-US"/>
        </w:rPr>
        <w:t>(2016)</w:t>
      </w:r>
      <w:r w:rsidR="00453B06">
        <w:rPr>
          <w:rFonts w:ascii="Times New Roman" w:eastAsia="Garamond" w:hAnsi="Times New Roman" w:cs="Times New Roman"/>
          <w:sz w:val="24"/>
          <w:szCs w:val="24"/>
          <w:lang w:val="en-US"/>
        </w:rPr>
        <w:fldChar w:fldCharType="end"/>
      </w:r>
      <w:r w:rsidRPr="00E107B9">
        <w:rPr>
          <w:rFonts w:ascii="Times New Roman" w:eastAsia="Garamond" w:hAnsi="Times New Roman" w:cs="Times New Roman"/>
          <w:sz w:val="24"/>
          <w:szCs w:val="24"/>
          <w:lang w:val="en-US"/>
        </w:rPr>
        <w:t xml:space="preserve"> referred to the valuation practices in this area as ‘epistemic capitalism’ in which scientific knowledge production acquires features akin to entrepreneurship whereby individuals accumulate various, not necessarily monetary, forms of worth (see Davies, 2014). According to this view, the valuation of different forms of research is necessary to accrue different forms of worth in the competitive set up of research production. Furthermore, </w:t>
      </w:r>
      <w:r w:rsidR="002446DD">
        <w:rPr>
          <w:rFonts w:ascii="Times New Roman" w:eastAsia="Garamond" w:hAnsi="Times New Roman" w:cs="Times New Roman"/>
          <w:sz w:val="24"/>
          <w:szCs w:val="24"/>
          <w:lang w:val="en-US"/>
        </w:rPr>
        <w:t>studies have</w:t>
      </w:r>
      <w:r w:rsidRPr="00E107B9">
        <w:rPr>
          <w:rFonts w:ascii="Times New Roman" w:eastAsia="Garamond" w:hAnsi="Times New Roman" w:cs="Times New Roman"/>
          <w:sz w:val="24"/>
          <w:szCs w:val="24"/>
          <w:lang w:val="en-US"/>
        </w:rPr>
        <w:t xml:space="preserve"> shown that valuation differs across epistemic cultures</w:t>
      </w:r>
      <w:r w:rsidR="00453B06">
        <w:rPr>
          <w:rFonts w:ascii="Times New Roman" w:eastAsia="Garamond" w:hAnsi="Times New Roman" w:cs="Times New Roman"/>
          <w:sz w:val="24"/>
          <w:szCs w:val="24"/>
          <w:lang w:val="en-US"/>
        </w:rPr>
        <w:t xml:space="preserve"> </w:t>
      </w:r>
      <w:r w:rsidR="00453B06">
        <w:rPr>
          <w:rFonts w:ascii="Times New Roman" w:eastAsia="Garamond" w:hAnsi="Times New Roman" w:cs="Times New Roman"/>
          <w:sz w:val="24"/>
          <w:szCs w:val="24"/>
          <w:lang w:val="en-US"/>
        </w:rPr>
        <w:fldChar w:fldCharType="begin" w:fldLock="1"/>
      </w:r>
      <w:r w:rsidR="009F1C9E">
        <w:rPr>
          <w:rFonts w:ascii="Times New Roman" w:eastAsia="Garamond" w:hAnsi="Times New Roman" w:cs="Times New Roman"/>
          <w:sz w:val="24"/>
          <w:szCs w:val="24"/>
          <w:lang w:val="en-US"/>
        </w:rPr>
        <w:instrText>ADDIN CSL_CITATION {"citationItems":[{"id":"ITEM-1","itemData":{"DOI":"10.1007/s11024-018-09366-x","ISBN":"0123456789","ISSN":"15731871","abstract":"This paper aims to explore disciplinary variation in valuation practices by comparing the way research groups accumulate credibility across four epistemic cultures. Our analysis is based on case studies of four high-performing research groups representing very different epistemic cultures in humanities, social sciences, geosciences and mathematics. In each case we interviewed about ten researchers, analyzed relevant documents and observed a couple of meetings. In all four cases we found a cyclical process of accumulating credibility. At the same time, we found significant differences in the manifestation of the six main resources that are part of the cycle, the mechanisms of conversion between these resources, the overall structure and the average speed of the credibility cycle. The different ways in which the groups use data and produce arguments affect the whole cycle of accumulating credibility. In some cultures, journal publications are the main source of recognition, but in others one can earn significant amounts of recognition for conference contributions or service to the academic community. Moreover, the collaboration practices in the respective fields strongly influence the connection between arguments and publications. In cultures where teams of researchers collaboratively produce arguments, it is more strongly embedded in the process of writing publications. We conclude that the credibility cycle can only be used as an analytical tool to explain the behavior of researchers or research groups when taking differences across epistemic cultures into account.","author":[{"dropping-particle":"","family":"Hessels","given":"Laurens K.","non-dropping-particle":"","parse-names":false,"suffix":""},{"dropping-particle":"","family":"Franssen","given":"Thomas","non-dropping-particle":"","parse-names":false,"suffix":""},{"dropping-particle":"","family":"Scholten","given":"Wout","non-dropping-particle":"","parse-names":false,"suffix":""},{"dropping-particle":"","family":"Rijcke","given":"Sarah","non-dropping-particle":"de","parse-names":false,"suffix":""}],"container-title":"Minerva","id":"ITEM-1","issue":"2","issued":{"date-parts":[["2019"]]},"page":"127-149","publisher":"Springer Netherlands","title":"Variation in Valuation: How Research Groups Accumulate Credibility in Four Epistemic Cultures","type":"article-journal","volume":"57"},"uris":["http://www.mendeley.com/documents/?uuid=841f4aaf-b4be-4d99-8fd5-e6ba15dfd725"]}],"mendeley":{"formattedCitation":"(Hessels, Franssen, Scholten, &amp; de Rijcke, 2019)","plainTextFormattedCitation":"(Hessels, Franssen, Scholten, &amp; de Rijcke, 2019)","previouslyFormattedCitation":"(Hessels, Franssen, Scholten, &amp; de Rijcke, 2019)"},"properties":{"noteIndex":0},"schema":"https://github.com/citation-style-language/schema/raw/master/csl-citation.json"}</w:instrText>
      </w:r>
      <w:r w:rsidR="00453B06">
        <w:rPr>
          <w:rFonts w:ascii="Times New Roman" w:eastAsia="Garamond" w:hAnsi="Times New Roman" w:cs="Times New Roman"/>
          <w:sz w:val="24"/>
          <w:szCs w:val="24"/>
          <w:lang w:val="en-US"/>
        </w:rPr>
        <w:fldChar w:fldCharType="separate"/>
      </w:r>
      <w:r w:rsidR="00453B06" w:rsidRPr="00453B06">
        <w:rPr>
          <w:rFonts w:ascii="Times New Roman" w:eastAsia="Garamond" w:hAnsi="Times New Roman" w:cs="Times New Roman"/>
          <w:noProof/>
          <w:sz w:val="24"/>
          <w:szCs w:val="24"/>
          <w:lang w:val="en-US"/>
        </w:rPr>
        <w:t>(Hessels</w:t>
      </w:r>
      <w:r w:rsidR="003412BF">
        <w:rPr>
          <w:rFonts w:ascii="Times New Roman" w:eastAsia="Garamond" w:hAnsi="Times New Roman" w:cs="Times New Roman"/>
          <w:noProof/>
          <w:sz w:val="24"/>
          <w:szCs w:val="24"/>
          <w:lang w:val="en-US"/>
        </w:rPr>
        <w:t xml:space="preserve"> et al.</w:t>
      </w:r>
      <w:r w:rsidR="00453B06" w:rsidRPr="00453B06">
        <w:rPr>
          <w:rFonts w:ascii="Times New Roman" w:eastAsia="Garamond" w:hAnsi="Times New Roman" w:cs="Times New Roman"/>
          <w:noProof/>
          <w:sz w:val="24"/>
          <w:szCs w:val="24"/>
          <w:lang w:val="en-US"/>
        </w:rPr>
        <w:t>, 2019)</w:t>
      </w:r>
      <w:r w:rsidR="00453B06">
        <w:rPr>
          <w:rFonts w:ascii="Times New Roman" w:eastAsia="Garamond" w:hAnsi="Times New Roman" w:cs="Times New Roman"/>
          <w:sz w:val="24"/>
          <w:szCs w:val="24"/>
          <w:lang w:val="en-US"/>
        </w:rPr>
        <w:fldChar w:fldCharType="end"/>
      </w:r>
      <w:r w:rsidR="00453B06">
        <w:rPr>
          <w:rFonts w:ascii="Times New Roman" w:eastAsia="Garamond" w:hAnsi="Times New Roman" w:cs="Times New Roman"/>
          <w:sz w:val="24"/>
          <w:szCs w:val="24"/>
          <w:lang w:val="en-US"/>
        </w:rPr>
        <w:t xml:space="preserve"> </w:t>
      </w:r>
      <w:r w:rsidRPr="00E107B9">
        <w:rPr>
          <w:rFonts w:ascii="Times New Roman" w:eastAsia="Garamond" w:hAnsi="Times New Roman" w:cs="Times New Roman"/>
          <w:sz w:val="24"/>
          <w:szCs w:val="24"/>
          <w:lang w:val="en-US"/>
        </w:rPr>
        <w:t xml:space="preserve">where </w:t>
      </w:r>
      <w:r w:rsidR="002446DD">
        <w:rPr>
          <w:rFonts w:ascii="Times New Roman" w:eastAsia="Garamond" w:hAnsi="Times New Roman" w:cs="Times New Roman"/>
          <w:sz w:val="24"/>
          <w:szCs w:val="24"/>
          <w:lang w:val="en-US"/>
        </w:rPr>
        <w:t>specific</w:t>
      </w:r>
      <w:r w:rsidRPr="00E107B9">
        <w:rPr>
          <w:rFonts w:ascii="Times New Roman" w:eastAsia="Garamond" w:hAnsi="Times New Roman" w:cs="Times New Roman"/>
          <w:sz w:val="24"/>
          <w:szCs w:val="24"/>
          <w:lang w:val="en-US"/>
        </w:rPr>
        <w:t xml:space="preserve"> ‘styles of valuation’</w:t>
      </w:r>
      <w:r w:rsidR="009F1C9E">
        <w:rPr>
          <w:rFonts w:ascii="Times New Roman" w:eastAsia="Garamond" w:hAnsi="Times New Roman" w:cs="Times New Roman"/>
          <w:sz w:val="24"/>
          <w:szCs w:val="24"/>
          <w:lang w:val="en-US"/>
        </w:rPr>
        <w:t xml:space="preserve"> </w:t>
      </w:r>
      <w:r w:rsidR="009F1C9E">
        <w:rPr>
          <w:rFonts w:ascii="Times New Roman" w:eastAsia="Garamond" w:hAnsi="Times New Roman" w:cs="Times New Roman"/>
          <w:sz w:val="24"/>
          <w:szCs w:val="24"/>
          <w:lang w:val="en-US"/>
        </w:rPr>
        <w:fldChar w:fldCharType="begin" w:fldLock="1"/>
      </w:r>
      <w:r w:rsidR="00FA14C6">
        <w:rPr>
          <w:rFonts w:ascii="Times New Roman" w:eastAsia="Garamond" w:hAnsi="Times New Roman" w:cs="Times New Roman"/>
          <w:sz w:val="24"/>
          <w:szCs w:val="24"/>
          <w:lang w:val="en-US"/>
        </w:rPr>
        <w:instrText>ADDIN CSL_CITATION {"citationItems":[{"id":"ITEM-1","itemData":{"DOI":"10.1177/0162243919866898","ISSN":"15528251","abstract":"In science and technology studies today, there is a troubling tendency to portray actors in the biosciences as “cultural dopes” and technology as having monolithic qualities with predetermined outcomes. To remedy this analytical impasse, this article introduces the concept styles of valuation to analyze how actors struggle with valuing technology in practice. Empirically, this article examines how actors in a bioscientific laboratory struggle with valuing the properties and qualities of algorithms in a high-throughput setting and identifies the copresence of several different styles. The question that the actors struggle with is what different configurations of algorithms, devices, and humans are “good bioscience,” that is, what do the actors perform as a good distribution of agency between algorithms and humans? A key finding is that algorithms, robots, and humans are valued in multiple ways in the same setting. For the actors, it is not apparent which configuration of agency and devices is more authoritative nor is it obvious which skills and functions should be redistributed to the algorithms. Thus, rather than tying algorithms to one set of values, such as “speed,” “precision,” or “automation,” this article demonstrates the broad utility of attending to the multivalence of algorithms and technology in practice.","author":[{"dropping-particle":"","family":"Lee","given":"Francis","non-dropping-particle":"","parse-names":false,"suffix":""},{"dropping-particle":"","family":"Helgesson","given":"Claes Fredrik","non-dropping-particle":"","parse-names":false,"suffix":""}],"container-title":"Science Technology and Human Values","id":"ITEM-1","issued":{"date-parts":[["2019"]]},"page":"1-27","title":"Styles of Valuation: Algorithms and Agency in High-throughput Bioscience","type":"article-journal"},"uris":["http://www.mendeley.com/documents/?uuid=7b30e1ad-c030-4921-87db-0c8b0e7ee65f"]}],"mendeley":{"formattedCitation":"(Lee &amp; Helgesson, 2019)","plainTextFormattedCitation":"(Lee &amp; Helgesson, 2019)","previouslyFormattedCitation":"(Lee &amp; Helgesson, 2019)"},"properties":{"noteIndex":0},"schema":"https://github.com/citation-style-language/schema/raw/master/csl-citation.json"}</w:instrText>
      </w:r>
      <w:r w:rsidR="009F1C9E">
        <w:rPr>
          <w:rFonts w:ascii="Times New Roman" w:eastAsia="Garamond" w:hAnsi="Times New Roman" w:cs="Times New Roman"/>
          <w:sz w:val="24"/>
          <w:szCs w:val="24"/>
          <w:lang w:val="en-US"/>
        </w:rPr>
        <w:fldChar w:fldCharType="separate"/>
      </w:r>
      <w:r w:rsidR="009F1C9E" w:rsidRPr="009F1C9E">
        <w:rPr>
          <w:rFonts w:ascii="Times New Roman" w:eastAsia="Garamond" w:hAnsi="Times New Roman" w:cs="Times New Roman"/>
          <w:noProof/>
          <w:sz w:val="24"/>
          <w:szCs w:val="24"/>
          <w:lang w:val="en-US"/>
        </w:rPr>
        <w:t>(Lee &amp; Helgesson, 2019)</w:t>
      </w:r>
      <w:r w:rsidR="009F1C9E">
        <w:rPr>
          <w:rFonts w:ascii="Times New Roman" w:eastAsia="Garamond" w:hAnsi="Times New Roman" w:cs="Times New Roman"/>
          <w:sz w:val="24"/>
          <w:szCs w:val="24"/>
          <w:lang w:val="en-US"/>
        </w:rPr>
        <w:fldChar w:fldCharType="end"/>
      </w:r>
      <w:r w:rsidR="009F1C9E">
        <w:rPr>
          <w:rFonts w:ascii="Times New Roman" w:eastAsia="Garamond" w:hAnsi="Times New Roman" w:cs="Times New Roman"/>
          <w:sz w:val="24"/>
          <w:szCs w:val="24"/>
          <w:lang w:val="en-US"/>
        </w:rPr>
        <w:t xml:space="preserve"> </w:t>
      </w:r>
      <w:r w:rsidRPr="00E107B9">
        <w:rPr>
          <w:rFonts w:ascii="Times New Roman" w:eastAsia="Garamond" w:hAnsi="Times New Roman" w:cs="Times New Roman"/>
          <w:sz w:val="24"/>
          <w:szCs w:val="24"/>
          <w:lang w:val="en-US"/>
        </w:rPr>
        <w:t>can cause evaluative tensions and fraction.</w:t>
      </w:r>
      <w:r w:rsidR="00E13C20">
        <w:rPr>
          <w:rFonts w:ascii="Times New Roman" w:eastAsia="Garamond" w:hAnsi="Times New Roman" w:cs="Times New Roman"/>
          <w:sz w:val="24"/>
          <w:szCs w:val="24"/>
          <w:lang w:val="en-US"/>
        </w:rPr>
        <w:t xml:space="preserve"> </w:t>
      </w:r>
    </w:p>
    <w:p w14:paraId="5CA12A38" w14:textId="06D1C365" w:rsidR="00E107B9" w:rsidRPr="00E107B9" w:rsidRDefault="00E107B9" w:rsidP="00E107B9">
      <w:pPr>
        <w:spacing w:line="360" w:lineRule="auto"/>
        <w:jc w:val="both"/>
        <w:rPr>
          <w:rFonts w:ascii="Times New Roman" w:eastAsia="Garamond" w:hAnsi="Times New Roman" w:cs="Times New Roman"/>
          <w:sz w:val="24"/>
          <w:szCs w:val="24"/>
          <w:lang w:val="en-US"/>
        </w:rPr>
      </w:pPr>
      <w:r w:rsidRPr="00E107B9">
        <w:rPr>
          <w:rFonts w:ascii="Times New Roman" w:eastAsia="Garamond" w:hAnsi="Times New Roman" w:cs="Times New Roman"/>
          <w:sz w:val="24"/>
          <w:szCs w:val="24"/>
          <w:lang w:val="en-US"/>
        </w:rPr>
        <w:t>Research has shown that the state of fraction between various styles of valuation is not necessarily detrimental to the actors involved in it (Stark, 2009;</w:t>
      </w:r>
      <w:r w:rsidR="00DC4068">
        <w:rPr>
          <w:rFonts w:ascii="Times New Roman" w:eastAsia="Garamond" w:hAnsi="Times New Roman" w:cs="Times New Roman"/>
          <w:sz w:val="24"/>
          <w:szCs w:val="24"/>
          <w:lang w:val="en-US"/>
        </w:rPr>
        <w:t xml:space="preserve"> </w:t>
      </w:r>
      <w:r w:rsidR="0067612A">
        <w:rPr>
          <w:rFonts w:ascii="Times New Roman" w:eastAsia="Garamond" w:hAnsi="Times New Roman" w:cs="Times New Roman"/>
          <w:sz w:val="24"/>
          <w:szCs w:val="24"/>
          <w:lang w:val="it-IT"/>
        </w:rPr>
        <w:t>Kornberger, 2017;</w:t>
      </w:r>
      <w:r w:rsidRPr="00E107B9">
        <w:rPr>
          <w:rFonts w:ascii="Times New Roman" w:eastAsia="Garamond" w:hAnsi="Times New Roman" w:cs="Times New Roman"/>
          <w:sz w:val="24"/>
          <w:szCs w:val="24"/>
          <w:lang w:val="en-US"/>
        </w:rPr>
        <w:t xml:space="preserve"> Gatzweiler &amp; Ronzani, 2019). In fact, in environments characterized by decentralized power, ambiguous goals, and multiple actors with diverse values and interests “contending frameworks of value </w:t>
      </w:r>
      <w:r w:rsidRPr="00E107B9">
        <w:rPr>
          <w:rFonts w:ascii="Times New Roman" w:eastAsia="Garamond" w:hAnsi="Times New Roman" w:cs="Times New Roman"/>
          <w:sz w:val="24"/>
          <w:szCs w:val="24"/>
          <w:lang w:val="en-US"/>
        </w:rPr>
        <w:lastRenderedPageBreak/>
        <w:t>can themselves be a valuable organizational resource” (Stark, 2009, p.6). That is because situations of evaluative tensions and dissonance can prompt and sustain processes of questioning, enquiry, and continual search of innovative forms of knowledge production (Quattrone, 2015</w:t>
      </w:r>
      <w:r w:rsidR="002446DD">
        <w:rPr>
          <w:rFonts w:ascii="Times New Roman" w:eastAsia="Garamond" w:hAnsi="Times New Roman" w:cs="Times New Roman"/>
          <w:sz w:val="24"/>
          <w:szCs w:val="24"/>
          <w:lang w:val="it-IT"/>
        </w:rPr>
        <w:t xml:space="preserve">; </w:t>
      </w:r>
      <w:r w:rsidR="002446DD" w:rsidRPr="00E107B9">
        <w:rPr>
          <w:rFonts w:ascii="Times New Roman" w:eastAsia="Garamond" w:hAnsi="Times New Roman" w:cs="Times New Roman"/>
          <w:sz w:val="24"/>
          <w:szCs w:val="24"/>
          <w:lang w:val="en-US"/>
        </w:rPr>
        <w:t>Gatzweiler &amp; Ronzani, 2019</w:t>
      </w:r>
      <w:r w:rsidRPr="00E107B9">
        <w:rPr>
          <w:rFonts w:ascii="Times New Roman" w:eastAsia="Garamond" w:hAnsi="Times New Roman" w:cs="Times New Roman"/>
          <w:sz w:val="24"/>
          <w:szCs w:val="24"/>
          <w:lang w:val="en-US"/>
        </w:rPr>
        <w:t xml:space="preserve">). Hence, the evaluative tensions within the ‘epistemic machineries’ of knowledge production are not zero-sum games and call for the exploration of the organizations’ “capacity to influence and cope with valuation practices” (Kornberger, 2017, p.3). From this perspective, practices of valuation “emerge not as a kind of terra firma on which […] governance might rest, but as one more aspect of organizing that is itself in need of governance” (Gheman et al., 2013, p.106). </w:t>
      </w:r>
    </w:p>
    <w:p w14:paraId="27F28112" w14:textId="01CBD82B" w:rsidR="00E107B9" w:rsidRPr="006A153E" w:rsidRDefault="00E107B9" w:rsidP="006A153E">
      <w:pPr>
        <w:spacing w:line="360" w:lineRule="auto"/>
        <w:jc w:val="both"/>
        <w:rPr>
          <w:rFonts w:ascii="Times New Roman" w:hAnsi="Times New Roman" w:cs="Times New Roman"/>
          <w:sz w:val="24"/>
          <w:szCs w:val="24"/>
        </w:rPr>
      </w:pPr>
      <w:r w:rsidRPr="00E107B9">
        <w:rPr>
          <w:rFonts w:ascii="Times New Roman" w:hAnsi="Times New Roman" w:cs="Times New Roman"/>
          <w:sz w:val="24"/>
          <w:szCs w:val="24"/>
        </w:rPr>
        <w:t xml:space="preserve">Taken together, the literature on KC and on the sociology of valuation open up a new venue for exploring the </w:t>
      </w:r>
      <w:r w:rsidR="00494834">
        <w:rPr>
          <w:rFonts w:ascii="Times New Roman" w:hAnsi="Times New Roman" w:cs="Times New Roman"/>
          <w:sz w:val="24"/>
          <w:szCs w:val="24"/>
        </w:rPr>
        <w:t xml:space="preserve">epistemic practices in </w:t>
      </w:r>
      <w:r w:rsidR="000E086B">
        <w:rPr>
          <w:rFonts w:ascii="Times New Roman" w:hAnsi="Times New Roman" w:cs="Times New Roman"/>
          <w:sz w:val="24"/>
          <w:szCs w:val="24"/>
        </w:rPr>
        <w:t>global governance</w:t>
      </w:r>
      <w:r w:rsidR="00D27C14">
        <w:rPr>
          <w:rFonts w:ascii="Times New Roman" w:hAnsi="Times New Roman" w:cs="Times New Roman"/>
          <w:sz w:val="24"/>
          <w:szCs w:val="24"/>
        </w:rPr>
        <w:t xml:space="preserve"> spaces</w:t>
      </w:r>
      <w:r w:rsidRPr="00E107B9">
        <w:rPr>
          <w:rFonts w:ascii="Times New Roman" w:hAnsi="Times New Roman" w:cs="Times New Roman"/>
          <w:sz w:val="24"/>
          <w:szCs w:val="24"/>
        </w:rPr>
        <w:t>.</w:t>
      </w:r>
      <w:r w:rsidR="00DA3F9B">
        <w:rPr>
          <w:rFonts w:ascii="Times New Roman" w:hAnsi="Times New Roman" w:cs="Times New Roman"/>
          <w:sz w:val="24"/>
          <w:szCs w:val="24"/>
        </w:rPr>
        <w:t xml:space="preserve"> </w:t>
      </w:r>
      <w:r w:rsidR="00D27C14">
        <w:rPr>
          <w:rFonts w:ascii="Times New Roman" w:hAnsi="Times New Roman" w:cs="Times New Roman"/>
          <w:sz w:val="24"/>
          <w:szCs w:val="24"/>
        </w:rPr>
        <w:t xml:space="preserve">In </w:t>
      </w:r>
      <w:r w:rsidR="00B20300">
        <w:rPr>
          <w:rFonts w:ascii="Times New Roman" w:hAnsi="Times New Roman" w:cs="Times New Roman"/>
          <w:sz w:val="24"/>
          <w:szCs w:val="24"/>
        </w:rPr>
        <w:t>particular</w:t>
      </w:r>
      <w:r w:rsidR="00DA3F9B">
        <w:rPr>
          <w:rFonts w:ascii="Times New Roman" w:hAnsi="Times New Roman" w:cs="Times New Roman"/>
          <w:sz w:val="24"/>
          <w:szCs w:val="24"/>
        </w:rPr>
        <w:t>, the notions of competing approaches to quantification and their epistemic, political</w:t>
      </w:r>
      <w:r w:rsidR="006A153E">
        <w:rPr>
          <w:rFonts w:ascii="Times New Roman" w:hAnsi="Times New Roman" w:cs="Times New Roman"/>
          <w:sz w:val="24"/>
          <w:szCs w:val="24"/>
        </w:rPr>
        <w:t>,</w:t>
      </w:r>
      <w:r w:rsidR="00DA3F9B">
        <w:rPr>
          <w:rFonts w:ascii="Times New Roman" w:hAnsi="Times New Roman" w:cs="Times New Roman"/>
          <w:sz w:val="24"/>
          <w:szCs w:val="24"/>
        </w:rPr>
        <w:t xml:space="preserve"> and organisational</w:t>
      </w:r>
      <w:r w:rsidR="006D7C0F">
        <w:rPr>
          <w:rFonts w:ascii="Times New Roman" w:hAnsi="Times New Roman" w:cs="Times New Roman"/>
          <w:sz w:val="24"/>
          <w:szCs w:val="24"/>
        </w:rPr>
        <w:t xml:space="preserve"> consequences have been underexplored</w:t>
      </w:r>
      <w:r w:rsidR="00DA3F9B">
        <w:rPr>
          <w:rFonts w:ascii="Times New Roman" w:hAnsi="Times New Roman" w:cs="Times New Roman"/>
          <w:sz w:val="24"/>
          <w:szCs w:val="24"/>
        </w:rPr>
        <w:t>.</w:t>
      </w:r>
      <w:r w:rsidRPr="00E107B9">
        <w:rPr>
          <w:rFonts w:ascii="Times New Roman" w:hAnsi="Times New Roman" w:cs="Times New Roman"/>
          <w:sz w:val="24"/>
          <w:szCs w:val="24"/>
        </w:rPr>
        <w:t xml:space="preserve"> In what follows, we </w:t>
      </w:r>
      <w:r w:rsidR="00DA3F9B">
        <w:rPr>
          <w:rFonts w:ascii="Times New Roman" w:hAnsi="Times New Roman" w:cs="Times New Roman"/>
          <w:sz w:val="24"/>
          <w:szCs w:val="24"/>
        </w:rPr>
        <w:t>address this issue by exploring</w:t>
      </w:r>
      <w:r w:rsidRPr="00E107B9">
        <w:rPr>
          <w:rFonts w:ascii="Times New Roman" w:hAnsi="Times New Roman" w:cs="Times New Roman"/>
          <w:sz w:val="24"/>
          <w:szCs w:val="24"/>
        </w:rPr>
        <w:t xml:space="preserve"> the emergence of </w:t>
      </w:r>
      <w:r w:rsidR="00D27C14">
        <w:rPr>
          <w:rFonts w:ascii="Times New Roman" w:hAnsi="Times New Roman" w:cs="Times New Roman"/>
          <w:sz w:val="24"/>
          <w:szCs w:val="24"/>
        </w:rPr>
        <w:t>a ‘market</w:t>
      </w:r>
      <w:r w:rsidRPr="00E107B9">
        <w:rPr>
          <w:rFonts w:ascii="Times New Roman" w:hAnsi="Times New Roman" w:cs="Times New Roman"/>
          <w:sz w:val="24"/>
          <w:szCs w:val="24"/>
        </w:rPr>
        <w:t xml:space="preserve"> </w:t>
      </w:r>
      <w:r w:rsidR="00DA3F9B">
        <w:rPr>
          <w:rFonts w:ascii="Times New Roman" w:hAnsi="Times New Roman" w:cs="Times New Roman"/>
          <w:sz w:val="24"/>
          <w:szCs w:val="24"/>
        </w:rPr>
        <w:t>of indicators’ within which</w:t>
      </w:r>
      <w:r w:rsidR="00D27C14">
        <w:rPr>
          <w:rFonts w:ascii="Times New Roman" w:hAnsi="Times New Roman" w:cs="Times New Roman"/>
          <w:sz w:val="24"/>
          <w:szCs w:val="24"/>
        </w:rPr>
        <w:t xml:space="preserve"> the</w:t>
      </w:r>
      <w:r w:rsidR="00DA3F9B">
        <w:rPr>
          <w:rFonts w:ascii="Times New Roman" w:hAnsi="Times New Roman" w:cs="Times New Roman"/>
          <w:sz w:val="24"/>
          <w:szCs w:val="24"/>
        </w:rPr>
        <w:t xml:space="preserve"> </w:t>
      </w:r>
      <w:r w:rsidR="006A153E">
        <w:rPr>
          <w:rFonts w:ascii="Times New Roman" w:hAnsi="Times New Roman" w:cs="Times New Roman"/>
          <w:sz w:val="24"/>
          <w:szCs w:val="24"/>
        </w:rPr>
        <w:t>KC</w:t>
      </w:r>
      <w:r w:rsidR="00DA3F9B">
        <w:rPr>
          <w:rFonts w:ascii="Times New Roman" w:hAnsi="Times New Roman" w:cs="Times New Roman"/>
          <w:sz w:val="24"/>
          <w:szCs w:val="24"/>
        </w:rPr>
        <w:t xml:space="preserve"> </w:t>
      </w:r>
      <w:r w:rsidR="006A153E">
        <w:rPr>
          <w:rFonts w:ascii="Times New Roman" w:hAnsi="Times New Roman" w:cs="Times New Roman"/>
          <w:sz w:val="24"/>
          <w:szCs w:val="24"/>
        </w:rPr>
        <w:t>creates</w:t>
      </w:r>
      <w:r w:rsidR="00DA3F9B">
        <w:rPr>
          <w:rFonts w:ascii="Times New Roman" w:hAnsi="Times New Roman" w:cs="Times New Roman"/>
          <w:sz w:val="24"/>
          <w:szCs w:val="24"/>
        </w:rPr>
        <w:t xml:space="preserve"> new opportunities for </w:t>
      </w:r>
      <w:r w:rsidR="00D27C14">
        <w:rPr>
          <w:rFonts w:ascii="Times New Roman" w:hAnsi="Times New Roman" w:cs="Times New Roman"/>
          <w:sz w:val="24"/>
          <w:szCs w:val="24"/>
        </w:rPr>
        <w:t>the assessment of value</w:t>
      </w:r>
      <w:r w:rsidR="007741FA">
        <w:rPr>
          <w:rFonts w:ascii="Times New Roman" w:hAnsi="Times New Roman" w:cs="Times New Roman"/>
          <w:sz w:val="24"/>
          <w:szCs w:val="24"/>
        </w:rPr>
        <w:t>s</w:t>
      </w:r>
      <w:r w:rsidR="00DA3F9B">
        <w:rPr>
          <w:rFonts w:ascii="Times New Roman" w:hAnsi="Times New Roman" w:cs="Times New Roman"/>
          <w:sz w:val="24"/>
          <w:szCs w:val="24"/>
        </w:rPr>
        <w:t xml:space="preserve">. </w:t>
      </w:r>
    </w:p>
    <w:p w14:paraId="1D4E6961" w14:textId="77777777" w:rsidR="00E107B9" w:rsidRPr="005A3E29" w:rsidRDefault="00E107B9" w:rsidP="00E107B9">
      <w:pPr>
        <w:numPr>
          <w:ilvl w:val="0"/>
          <w:numId w:val="2"/>
        </w:numPr>
        <w:spacing w:line="360" w:lineRule="auto"/>
        <w:contextualSpacing/>
        <w:jc w:val="both"/>
        <w:rPr>
          <w:rFonts w:ascii="Times New Roman" w:hAnsi="Times New Roman" w:cs="Times New Roman"/>
          <w:b/>
          <w:sz w:val="24"/>
          <w:szCs w:val="24"/>
        </w:rPr>
      </w:pPr>
      <w:r w:rsidRPr="005A3E29">
        <w:rPr>
          <w:rFonts w:ascii="Times New Roman" w:hAnsi="Times New Roman" w:cs="Times New Roman"/>
          <w:b/>
          <w:sz w:val="24"/>
          <w:szCs w:val="24"/>
        </w:rPr>
        <w:t>Methods</w:t>
      </w:r>
    </w:p>
    <w:p w14:paraId="642D7FE9" w14:textId="77777777" w:rsidR="00E107B9" w:rsidRPr="005A3E29" w:rsidRDefault="00E107B9" w:rsidP="00E107B9">
      <w:pPr>
        <w:numPr>
          <w:ilvl w:val="1"/>
          <w:numId w:val="2"/>
        </w:numPr>
        <w:spacing w:line="360" w:lineRule="auto"/>
        <w:contextualSpacing/>
        <w:rPr>
          <w:rFonts w:ascii="Times New Roman" w:hAnsi="Times New Roman" w:cs="Times New Roman"/>
          <w:b/>
          <w:sz w:val="24"/>
          <w:szCs w:val="24"/>
        </w:rPr>
      </w:pPr>
      <w:r w:rsidRPr="005A3E29">
        <w:rPr>
          <w:rFonts w:ascii="Times New Roman" w:hAnsi="Times New Roman" w:cs="Times New Roman"/>
          <w:b/>
          <w:sz w:val="24"/>
          <w:szCs w:val="24"/>
        </w:rPr>
        <w:t xml:space="preserve">The empirical setting: </w:t>
      </w:r>
      <w:r>
        <w:rPr>
          <w:rFonts w:ascii="Times New Roman" w:hAnsi="Times New Roman" w:cs="Times New Roman"/>
          <w:b/>
          <w:sz w:val="24"/>
          <w:szCs w:val="24"/>
        </w:rPr>
        <w:t>P</w:t>
      </w:r>
      <w:r w:rsidRPr="005A3E29">
        <w:rPr>
          <w:rFonts w:ascii="Times New Roman" w:hAnsi="Times New Roman" w:cs="Times New Roman"/>
          <w:b/>
          <w:sz w:val="24"/>
          <w:szCs w:val="24"/>
        </w:rPr>
        <w:t>overty measurement as a knowledge controversy</w:t>
      </w:r>
    </w:p>
    <w:p w14:paraId="4090E709" w14:textId="45CA50AB" w:rsidR="00E107B9" w:rsidRPr="005A3E29" w:rsidRDefault="00E107B9" w:rsidP="00E1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Poverty measurement has long been a subject of ongoing controversy where </w:t>
      </w:r>
      <w:r w:rsidRPr="005A3E29">
        <w:rPr>
          <w:rFonts w:ascii="Times New Roman" w:hAnsi="Times New Roman" w:cs="Times New Roman"/>
          <w:sz w:val="24"/>
          <w:szCs w:val="24"/>
        </w:rPr>
        <w:t>different ideologies, institutions, and epistemic cultures clash (O’Connor, 2011).</w:t>
      </w:r>
      <w:r>
        <w:rPr>
          <w:rFonts w:ascii="Times New Roman" w:hAnsi="Times New Roman" w:cs="Times New Roman"/>
          <w:sz w:val="24"/>
          <w:szCs w:val="24"/>
        </w:rPr>
        <w:t xml:space="preserve"> In particular, longstanding </w:t>
      </w:r>
      <w:r w:rsidRPr="005A3E29">
        <w:rPr>
          <w:rFonts w:ascii="Times New Roman" w:hAnsi="Times New Roman" w:cs="Times New Roman"/>
          <w:sz w:val="24"/>
          <w:szCs w:val="24"/>
        </w:rPr>
        <w:t>academic and policy debates</w:t>
      </w:r>
      <w:r>
        <w:rPr>
          <w:rFonts w:ascii="Times New Roman" w:hAnsi="Times New Roman" w:cs="Times New Roman"/>
          <w:sz w:val="24"/>
          <w:szCs w:val="24"/>
        </w:rPr>
        <w:t xml:space="preserve"> gave rise to a plethora of </w:t>
      </w:r>
      <w:r w:rsidRPr="005A3E29">
        <w:rPr>
          <w:rFonts w:ascii="Times New Roman" w:hAnsi="Times New Roman" w:cs="Times New Roman"/>
          <w:sz w:val="24"/>
          <w:szCs w:val="24"/>
        </w:rPr>
        <w:t>measurement paradigms and approaches.</w:t>
      </w:r>
      <w:r w:rsidRPr="00FD3633">
        <w:rPr>
          <w:rFonts w:ascii="Times New Roman" w:hAnsi="Times New Roman" w:cs="Times New Roman"/>
          <w:sz w:val="24"/>
          <w:szCs w:val="24"/>
        </w:rPr>
        <w:t xml:space="preserve"> </w:t>
      </w:r>
      <w:r w:rsidRPr="005A3E29">
        <w:rPr>
          <w:rFonts w:ascii="Times New Roman" w:hAnsi="Times New Roman" w:cs="Times New Roman"/>
          <w:sz w:val="24"/>
          <w:szCs w:val="24"/>
        </w:rPr>
        <w:t>Poverty itself is a difficult concept</w:t>
      </w:r>
      <w:r>
        <w:rPr>
          <w:rFonts w:ascii="Times New Roman" w:hAnsi="Times New Roman" w:cs="Times New Roman"/>
          <w:sz w:val="24"/>
          <w:szCs w:val="24"/>
        </w:rPr>
        <w:t xml:space="preserve"> to grasp</w:t>
      </w:r>
      <w:r w:rsidRPr="005A3E29">
        <w:rPr>
          <w:rFonts w:ascii="Times New Roman" w:hAnsi="Times New Roman" w:cs="Times New Roman"/>
          <w:sz w:val="24"/>
          <w:szCs w:val="24"/>
        </w:rPr>
        <w:t xml:space="preserve"> – it is vague, </w:t>
      </w:r>
      <w:r>
        <w:rPr>
          <w:rFonts w:ascii="Times New Roman" w:hAnsi="Times New Roman" w:cs="Times New Roman"/>
          <w:sz w:val="24"/>
          <w:szCs w:val="24"/>
        </w:rPr>
        <w:t>context-sensitive, ideologically and politically</w:t>
      </w:r>
      <w:r w:rsidRPr="00FD3633">
        <w:rPr>
          <w:rFonts w:ascii="Times New Roman" w:hAnsi="Times New Roman" w:cs="Times New Roman"/>
          <w:sz w:val="24"/>
          <w:szCs w:val="24"/>
        </w:rPr>
        <w:t xml:space="preserve"> </w:t>
      </w:r>
      <w:r>
        <w:rPr>
          <w:rFonts w:ascii="Times New Roman" w:hAnsi="Times New Roman" w:cs="Times New Roman"/>
          <w:sz w:val="24"/>
          <w:szCs w:val="24"/>
        </w:rPr>
        <w:t xml:space="preserve">laden, and </w:t>
      </w:r>
      <w:r w:rsidRPr="005A3E29">
        <w:rPr>
          <w:rFonts w:ascii="Times New Roman" w:hAnsi="Times New Roman" w:cs="Times New Roman"/>
          <w:sz w:val="24"/>
          <w:szCs w:val="24"/>
        </w:rPr>
        <w:t>multifaceted</w:t>
      </w:r>
      <w:r>
        <w:rPr>
          <w:rFonts w:ascii="Times New Roman" w:hAnsi="Times New Roman" w:cs="Times New Roman"/>
          <w:sz w:val="24"/>
          <w:szCs w:val="24"/>
        </w:rPr>
        <w:t>. These features of the very notion of poverty also affect poverty measurement, which reflects t</w:t>
      </w:r>
      <w:r w:rsidRPr="00FD3633">
        <w:rPr>
          <w:rFonts w:ascii="Times New Roman" w:hAnsi="Times New Roman" w:cs="Times New Roman"/>
          <w:sz w:val="24"/>
          <w:szCs w:val="24"/>
        </w:rPr>
        <w:t>he political character of the meanings of poverty</w:t>
      </w:r>
      <w:r w:rsidRPr="005A3E29" w:rsidDel="00FD3633">
        <w:rPr>
          <w:rFonts w:ascii="Times New Roman" w:hAnsi="Times New Roman" w:cs="Times New Roman"/>
          <w:sz w:val="24"/>
          <w:szCs w:val="24"/>
        </w:rPr>
        <w:t xml:space="preserve"> </w:t>
      </w:r>
      <w:r w:rsidRPr="005A3E29">
        <w:rPr>
          <w:rFonts w:ascii="Times New Roman" w:hAnsi="Times New Roman" w:cs="Times New Roman"/>
          <w:sz w:val="24"/>
          <w:szCs w:val="24"/>
        </w:rPr>
        <w:t>(Gordon &amp; Nandy, 2012).</w:t>
      </w:r>
      <w:r>
        <w:rPr>
          <w:rFonts w:ascii="Times New Roman" w:hAnsi="Times New Roman" w:cs="Times New Roman"/>
          <w:sz w:val="24"/>
          <w:szCs w:val="24"/>
        </w:rPr>
        <w:t xml:space="preserve"> In fact, poverty</w:t>
      </w:r>
      <w:r w:rsidRPr="005A3E29">
        <w:rPr>
          <w:rFonts w:ascii="Times New Roman" w:hAnsi="Times New Roman" w:cs="Times New Roman"/>
          <w:sz w:val="24"/>
          <w:szCs w:val="24"/>
        </w:rPr>
        <w:t xml:space="preserve"> can be se</w:t>
      </w:r>
      <w:r w:rsidR="009F1C9E">
        <w:rPr>
          <w:rFonts w:ascii="Times New Roman" w:hAnsi="Times New Roman" w:cs="Times New Roman"/>
          <w:sz w:val="24"/>
          <w:szCs w:val="24"/>
        </w:rPr>
        <w:t>en through the lenses of needs, capabilities</w:t>
      </w:r>
      <w:r w:rsidR="00D23F1F">
        <w:rPr>
          <w:rFonts w:ascii="Times New Roman" w:hAnsi="Times New Roman" w:cs="Times New Roman"/>
          <w:sz w:val="24"/>
          <w:szCs w:val="24"/>
        </w:rPr>
        <w:t>,</w:t>
      </w:r>
      <w:r w:rsidR="009F1C9E">
        <w:rPr>
          <w:rFonts w:ascii="Times New Roman" w:hAnsi="Times New Roman" w:cs="Times New Roman"/>
          <w:sz w:val="24"/>
          <w:szCs w:val="24"/>
        </w:rPr>
        <w:t xml:space="preserve"> or rights (Atkinson, 2019</w:t>
      </w:r>
      <w:r w:rsidRPr="005A3E29">
        <w:rPr>
          <w:rFonts w:ascii="Times New Roman" w:hAnsi="Times New Roman" w:cs="Times New Roman"/>
          <w:sz w:val="24"/>
          <w:szCs w:val="24"/>
        </w:rPr>
        <w:t xml:space="preserve">). </w:t>
      </w:r>
      <w:r>
        <w:rPr>
          <w:rFonts w:ascii="Times New Roman" w:hAnsi="Times New Roman" w:cs="Times New Roman"/>
          <w:sz w:val="24"/>
          <w:szCs w:val="24"/>
        </w:rPr>
        <w:t>These theoretical bases of the debate have salient methodological implications. They can translate into a measurement focus on a variety aspects including: a) income</w:t>
      </w:r>
      <w:r w:rsidRPr="005A3E29">
        <w:rPr>
          <w:rFonts w:ascii="Times New Roman" w:hAnsi="Times New Roman" w:cs="Times New Roman"/>
          <w:sz w:val="24"/>
          <w:szCs w:val="24"/>
        </w:rPr>
        <w:t xml:space="preserve"> or consumption</w:t>
      </w:r>
      <w:r>
        <w:rPr>
          <w:rFonts w:ascii="Times New Roman" w:hAnsi="Times New Roman" w:cs="Times New Roman"/>
          <w:sz w:val="24"/>
          <w:szCs w:val="24"/>
        </w:rPr>
        <w:t>; b)</w:t>
      </w:r>
      <w:r w:rsidRPr="005A3E29">
        <w:rPr>
          <w:rFonts w:ascii="Times New Roman" w:hAnsi="Times New Roman" w:cs="Times New Roman"/>
          <w:sz w:val="24"/>
          <w:szCs w:val="24"/>
        </w:rPr>
        <w:t xml:space="preserve"> exploring measurement in absolute or relative terms</w:t>
      </w:r>
      <w:r>
        <w:rPr>
          <w:rFonts w:ascii="Times New Roman" w:hAnsi="Times New Roman" w:cs="Times New Roman"/>
          <w:sz w:val="24"/>
          <w:szCs w:val="24"/>
        </w:rPr>
        <w:t>; c)</w:t>
      </w:r>
      <w:r w:rsidRPr="005A3E29">
        <w:rPr>
          <w:rFonts w:ascii="Times New Roman" w:hAnsi="Times New Roman" w:cs="Times New Roman"/>
          <w:sz w:val="24"/>
          <w:szCs w:val="24"/>
        </w:rPr>
        <w:t xml:space="preserve"> multidimensional or monodimensional (monetary) </w:t>
      </w:r>
      <w:r>
        <w:rPr>
          <w:rFonts w:ascii="Times New Roman" w:hAnsi="Times New Roman" w:cs="Times New Roman"/>
          <w:sz w:val="24"/>
          <w:szCs w:val="24"/>
        </w:rPr>
        <w:t>approaches; d)</w:t>
      </w:r>
      <w:r w:rsidRPr="005A3E29">
        <w:rPr>
          <w:rFonts w:ascii="Times New Roman" w:hAnsi="Times New Roman" w:cs="Times New Roman"/>
          <w:sz w:val="24"/>
          <w:szCs w:val="24"/>
        </w:rPr>
        <w:t xml:space="preserve"> defining the population of the poor through focusing on individual or household measures (Atkinson, 2019). These </w:t>
      </w:r>
      <w:r>
        <w:rPr>
          <w:rFonts w:ascii="Times New Roman" w:hAnsi="Times New Roman" w:cs="Times New Roman"/>
          <w:sz w:val="24"/>
          <w:szCs w:val="24"/>
        </w:rPr>
        <w:t>epistemological and methodological</w:t>
      </w:r>
      <w:r w:rsidRPr="005A3E29">
        <w:rPr>
          <w:rFonts w:ascii="Times New Roman" w:hAnsi="Times New Roman" w:cs="Times New Roman"/>
          <w:sz w:val="24"/>
          <w:szCs w:val="24"/>
        </w:rPr>
        <w:t xml:space="preserve"> debates </w:t>
      </w:r>
      <w:r>
        <w:rPr>
          <w:rFonts w:ascii="Times New Roman" w:hAnsi="Times New Roman" w:cs="Times New Roman"/>
          <w:sz w:val="24"/>
          <w:szCs w:val="24"/>
        </w:rPr>
        <w:t>are</w:t>
      </w:r>
      <w:r w:rsidRPr="005A3E29">
        <w:rPr>
          <w:rFonts w:ascii="Times New Roman" w:hAnsi="Times New Roman" w:cs="Times New Roman"/>
          <w:sz w:val="24"/>
          <w:szCs w:val="24"/>
        </w:rPr>
        <w:t xml:space="preserve"> reflected in the poverty measurement conducted by </w:t>
      </w:r>
      <w:r>
        <w:rPr>
          <w:rFonts w:ascii="Times New Roman" w:hAnsi="Times New Roman" w:cs="Times New Roman"/>
          <w:sz w:val="24"/>
          <w:szCs w:val="24"/>
        </w:rPr>
        <w:t>IOs</w:t>
      </w:r>
      <w:r w:rsidRPr="005A3E29">
        <w:rPr>
          <w:rFonts w:ascii="Times New Roman" w:hAnsi="Times New Roman" w:cs="Times New Roman"/>
          <w:sz w:val="24"/>
          <w:szCs w:val="24"/>
        </w:rPr>
        <w:t>. The scale of th</w:t>
      </w:r>
      <w:r>
        <w:rPr>
          <w:rFonts w:ascii="Times New Roman" w:hAnsi="Times New Roman" w:cs="Times New Roman"/>
          <w:sz w:val="24"/>
          <w:szCs w:val="24"/>
        </w:rPr>
        <w:t>is</w:t>
      </w:r>
      <w:r w:rsidRPr="005A3E29">
        <w:rPr>
          <w:rFonts w:ascii="Times New Roman" w:hAnsi="Times New Roman" w:cs="Times New Roman"/>
          <w:sz w:val="24"/>
          <w:szCs w:val="24"/>
        </w:rPr>
        <w:t xml:space="preserve"> KC </w:t>
      </w:r>
      <w:r>
        <w:rPr>
          <w:rFonts w:ascii="Times New Roman" w:hAnsi="Times New Roman" w:cs="Times New Roman"/>
          <w:sz w:val="24"/>
          <w:szCs w:val="24"/>
        </w:rPr>
        <w:t>can be</w:t>
      </w:r>
      <w:r w:rsidRPr="005A3E29">
        <w:rPr>
          <w:rFonts w:ascii="Times New Roman" w:hAnsi="Times New Roman" w:cs="Times New Roman"/>
          <w:sz w:val="24"/>
          <w:szCs w:val="24"/>
        </w:rPr>
        <w:t xml:space="preserve"> illustrated by the growth of poverty measures over the last three decades from the International Poverty Line introduced by the World Bank in the 1990s to eight, offered by </w:t>
      </w:r>
      <w:r>
        <w:rPr>
          <w:rFonts w:ascii="Times New Roman" w:hAnsi="Times New Roman" w:cs="Times New Roman"/>
          <w:sz w:val="24"/>
          <w:szCs w:val="24"/>
        </w:rPr>
        <w:t>UNICEF, UNDP, and OPHI</w:t>
      </w:r>
      <w:r w:rsidRPr="005A3E29">
        <w:rPr>
          <w:rFonts w:ascii="Times New Roman" w:hAnsi="Times New Roman" w:cs="Times New Roman"/>
          <w:sz w:val="24"/>
          <w:szCs w:val="24"/>
        </w:rPr>
        <w:t xml:space="preserve"> (see Table 1). </w:t>
      </w:r>
    </w:p>
    <w:p w14:paraId="11FC127F" w14:textId="21EC58CF" w:rsidR="00E107B9" w:rsidRDefault="00E107B9" w:rsidP="00E107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central actor</w:t>
      </w:r>
      <w:r w:rsidRPr="005A3E29">
        <w:rPr>
          <w:rFonts w:ascii="Times New Roman" w:hAnsi="Times New Roman" w:cs="Times New Roman"/>
          <w:sz w:val="24"/>
          <w:szCs w:val="24"/>
        </w:rPr>
        <w:t xml:space="preserve"> in global poverty </w:t>
      </w:r>
      <w:r>
        <w:rPr>
          <w:rFonts w:ascii="Times New Roman" w:hAnsi="Times New Roman" w:cs="Times New Roman"/>
          <w:sz w:val="24"/>
          <w:szCs w:val="24"/>
        </w:rPr>
        <w:t>measurement</w:t>
      </w:r>
      <w:r w:rsidRPr="005A3E29">
        <w:rPr>
          <w:rFonts w:ascii="Times New Roman" w:hAnsi="Times New Roman" w:cs="Times New Roman"/>
          <w:sz w:val="24"/>
          <w:szCs w:val="24"/>
        </w:rPr>
        <w:t xml:space="preserve"> since the second half of the 20</w:t>
      </w:r>
      <w:r w:rsidRPr="005A3E29">
        <w:rPr>
          <w:rFonts w:ascii="Times New Roman" w:hAnsi="Times New Roman" w:cs="Times New Roman"/>
          <w:sz w:val="24"/>
          <w:szCs w:val="24"/>
          <w:vertAlign w:val="superscript"/>
        </w:rPr>
        <w:t>th</w:t>
      </w:r>
      <w:r w:rsidR="00042E44">
        <w:rPr>
          <w:rFonts w:ascii="Times New Roman" w:hAnsi="Times New Roman" w:cs="Times New Roman"/>
          <w:sz w:val="24"/>
          <w:szCs w:val="24"/>
        </w:rPr>
        <w:t xml:space="preserve"> has been the</w:t>
      </w:r>
      <w:r w:rsidRPr="005A3E29">
        <w:rPr>
          <w:rFonts w:ascii="Times New Roman" w:hAnsi="Times New Roman" w:cs="Times New Roman"/>
          <w:sz w:val="24"/>
          <w:szCs w:val="24"/>
        </w:rPr>
        <w:t xml:space="preserve"> World Bank </w:t>
      </w:r>
      <w:r w:rsidRPr="005A3E29">
        <w:rPr>
          <w:rFonts w:ascii="Times New Roman" w:hAnsi="Times New Roman" w:cs="Times New Roman"/>
          <w:sz w:val="24"/>
          <w:szCs w:val="24"/>
        </w:rPr>
        <w:fldChar w:fldCharType="begin" w:fldLock="1"/>
      </w:r>
      <w:r w:rsidR="00453B06">
        <w:rPr>
          <w:rFonts w:ascii="Times New Roman" w:hAnsi="Times New Roman" w:cs="Times New Roman"/>
          <w:sz w:val="24"/>
          <w:szCs w:val="24"/>
        </w:rPr>
        <w:instrText>ADDIN CSL_CITATION {"citationItems":[{"id":"ITEM-1","itemData":{"DOI":"10.1177/1468018106061392","ISSN":"14680181","abstract":"This article argues that insights from the field of social studies of science and technology are relevant for assessing the highly politicized and contested knowledge for development and the eradication of global poverty elaborated by the World Bank. The World Bank, which has become a transnational expert institution, is best characterized as a 'site of co-production', producing both knowledge and social orders. Such a perspective helps in unveiling problems related to expertise and problems of delegation fundamental in relations between politics and knowledge. At the same time, applying insights from the social studies of science and technology provides an explanatory framework for knowledge-based science advice and suggestions for increasing the salience, credibility and legitimacy of such knowledge. The article calls for institutional innovations that may lead to dialogue and a more transparent and accountable debate among competing knowledge claims and political visions within and outside transnational expert bodies. Global Social Policy Copyright ? 2006.","author":[{"dropping-particle":"","family":"Clair","given":"Asunción Lera","non-dropping-particle":"St.","parse-names":false,"suffix":""}],"container-title":"Global Social Policy","id":"ITEM-1","issue":"1","issued":{"date-parts":[["2006"]]},"page":"57-77","title":"Global poverty: The co-production of knowledge and politics","type":"article-journal","volume":"6"},"uris":["http://www.mendeley.com/documents/?uuid=db9582cd-d2f9-4429-82ee-1b905c2aeda6"]}],"mendeley":{"formattedCitation":"(St. Clair, 2006)","manualFormatting":"(St Clair, 2006)","plainTextFormattedCitation":"(St. Clair, 2006)","previouslyFormattedCitation":"(St. Clair, 2006)"},"properties":{"noteIndex":0},"schema":"https://github.com/citation-style-language/schema/raw/master/csl-citation.json"}</w:instrText>
      </w:r>
      <w:r w:rsidRPr="005A3E29">
        <w:rPr>
          <w:rFonts w:ascii="Times New Roman" w:hAnsi="Times New Roman" w:cs="Times New Roman"/>
          <w:sz w:val="24"/>
          <w:szCs w:val="24"/>
        </w:rPr>
        <w:fldChar w:fldCharType="separate"/>
      </w:r>
      <w:r w:rsidRPr="005A3E29">
        <w:rPr>
          <w:rFonts w:ascii="Times New Roman" w:hAnsi="Times New Roman" w:cs="Times New Roman"/>
          <w:noProof/>
          <w:sz w:val="24"/>
          <w:szCs w:val="24"/>
        </w:rPr>
        <w:t>(St Clair, 2006)</w:t>
      </w:r>
      <w:r w:rsidRPr="005A3E29">
        <w:rPr>
          <w:rFonts w:ascii="Times New Roman" w:hAnsi="Times New Roman" w:cs="Times New Roman"/>
          <w:sz w:val="24"/>
          <w:szCs w:val="24"/>
        </w:rPr>
        <w:fldChar w:fldCharType="end"/>
      </w:r>
      <w:r w:rsidRPr="005A3E29">
        <w:rPr>
          <w:rFonts w:ascii="Times New Roman" w:hAnsi="Times New Roman" w:cs="Times New Roman"/>
          <w:sz w:val="24"/>
          <w:szCs w:val="24"/>
        </w:rPr>
        <w:t xml:space="preserve">. </w:t>
      </w:r>
      <w:r>
        <w:rPr>
          <w:rFonts w:ascii="Times New Roman" w:hAnsi="Times New Roman" w:cs="Times New Roman"/>
          <w:sz w:val="24"/>
          <w:szCs w:val="24"/>
        </w:rPr>
        <w:t>The World Bank’s</w:t>
      </w:r>
      <w:r w:rsidRPr="005A3E29">
        <w:rPr>
          <w:rFonts w:ascii="Times New Roman" w:hAnsi="Times New Roman" w:cs="Times New Roman"/>
          <w:sz w:val="24"/>
          <w:szCs w:val="24"/>
        </w:rPr>
        <w:t xml:space="preserve"> </w:t>
      </w:r>
      <w:r>
        <w:rPr>
          <w:rFonts w:ascii="Times New Roman" w:hAnsi="Times New Roman" w:cs="Times New Roman"/>
          <w:sz w:val="24"/>
          <w:szCs w:val="24"/>
        </w:rPr>
        <w:t>‘</w:t>
      </w:r>
      <w:r w:rsidRPr="005A3E29">
        <w:rPr>
          <w:rFonts w:ascii="Times New Roman" w:hAnsi="Times New Roman" w:cs="Times New Roman"/>
          <w:sz w:val="24"/>
          <w:szCs w:val="24"/>
        </w:rPr>
        <w:t>dollar-per-day approach</w:t>
      </w:r>
      <w:r>
        <w:rPr>
          <w:rFonts w:ascii="Times New Roman" w:hAnsi="Times New Roman" w:cs="Times New Roman"/>
          <w:sz w:val="24"/>
          <w:szCs w:val="24"/>
        </w:rPr>
        <w:t>’</w:t>
      </w:r>
      <w:r w:rsidRPr="005A3E29">
        <w:rPr>
          <w:rFonts w:ascii="Times New Roman" w:hAnsi="Times New Roman" w:cs="Times New Roman"/>
          <w:sz w:val="24"/>
          <w:szCs w:val="24"/>
        </w:rPr>
        <w:t xml:space="preserve"> was developed in the 1990s and </w:t>
      </w:r>
      <w:r>
        <w:rPr>
          <w:rFonts w:ascii="Times New Roman" w:hAnsi="Times New Roman" w:cs="Times New Roman"/>
          <w:sz w:val="24"/>
          <w:szCs w:val="24"/>
        </w:rPr>
        <w:t xml:space="preserve">it </w:t>
      </w:r>
      <w:r w:rsidRPr="005A3E29">
        <w:rPr>
          <w:rFonts w:ascii="Times New Roman" w:hAnsi="Times New Roman" w:cs="Times New Roman"/>
          <w:sz w:val="24"/>
          <w:szCs w:val="24"/>
        </w:rPr>
        <w:t>has been re-assessed over the years (in 2001, 2008 and 2015), and is currently set at 1.9$ PPP (World Bank, 2018)</w:t>
      </w:r>
      <w:r>
        <w:rPr>
          <w:rFonts w:ascii="Times New Roman" w:hAnsi="Times New Roman" w:cs="Times New Roman"/>
          <w:sz w:val="24"/>
          <w:szCs w:val="24"/>
        </w:rPr>
        <w:t>. It</w:t>
      </w:r>
      <w:r w:rsidRPr="005A3E29">
        <w:rPr>
          <w:rFonts w:ascii="Times New Roman" w:hAnsi="Times New Roman" w:cs="Times New Roman"/>
          <w:sz w:val="24"/>
          <w:szCs w:val="24"/>
        </w:rPr>
        <w:t xml:space="preserve"> ignited </w:t>
      </w:r>
      <w:r>
        <w:rPr>
          <w:rFonts w:ascii="Times New Roman" w:hAnsi="Times New Roman" w:cs="Times New Roman"/>
          <w:sz w:val="24"/>
          <w:szCs w:val="24"/>
        </w:rPr>
        <w:t>debates</w:t>
      </w:r>
      <w:r w:rsidRPr="005A3E29">
        <w:rPr>
          <w:rFonts w:ascii="Times New Roman" w:hAnsi="Times New Roman" w:cs="Times New Roman"/>
          <w:sz w:val="24"/>
          <w:szCs w:val="24"/>
        </w:rPr>
        <w:t xml:space="preserve"> regarding both the levels of poverty and the shortcomings of this approach, </w:t>
      </w:r>
      <w:r>
        <w:rPr>
          <w:rFonts w:ascii="Times New Roman" w:hAnsi="Times New Roman" w:cs="Times New Roman"/>
          <w:sz w:val="24"/>
          <w:szCs w:val="24"/>
        </w:rPr>
        <w:t>which is frequently seen as based on a narrow understanding of poverty</w:t>
      </w:r>
      <w:r w:rsidRPr="005A3E29">
        <w:rPr>
          <w:rFonts w:ascii="Times New Roman" w:hAnsi="Times New Roman" w:cs="Times New Roman"/>
          <w:sz w:val="24"/>
          <w:szCs w:val="24"/>
        </w:rPr>
        <w:t xml:space="preserve"> (O’Connor, 2019). </w:t>
      </w:r>
      <w:r>
        <w:rPr>
          <w:rFonts w:ascii="Times New Roman" w:hAnsi="Times New Roman" w:cs="Times New Roman"/>
          <w:sz w:val="24"/>
          <w:szCs w:val="24"/>
        </w:rPr>
        <w:t>In recent times</w:t>
      </w:r>
      <w:r w:rsidRPr="005A3E29">
        <w:rPr>
          <w:rFonts w:ascii="Times New Roman" w:hAnsi="Times New Roman" w:cs="Times New Roman"/>
          <w:sz w:val="24"/>
          <w:szCs w:val="24"/>
        </w:rPr>
        <w:t>, the World Bank expanded its indicator portfolio</w:t>
      </w:r>
      <w:r w:rsidRPr="00344966">
        <w:rPr>
          <w:rFonts w:ascii="Times New Roman" w:hAnsi="Times New Roman" w:cs="Times New Roman"/>
          <w:sz w:val="24"/>
          <w:szCs w:val="24"/>
        </w:rPr>
        <w:t xml:space="preserve"> </w:t>
      </w:r>
      <w:r w:rsidRPr="005A3E29">
        <w:rPr>
          <w:rFonts w:ascii="Times New Roman" w:hAnsi="Times New Roman" w:cs="Times New Roman"/>
          <w:sz w:val="24"/>
          <w:szCs w:val="24"/>
        </w:rPr>
        <w:t>to include two higher poverty lines set at 3.2$ and 5.5$, a societal poverty line, and a multidimensional poverty line (World Bank, 2018)</w:t>
      </w:r>
      <w:r>
        <w:rPr>
          <w:rFonts w:ascii="Times New Roman" w:hAnsi="Times New Roman" w:cs="Times New Roman"/>
          <w:sz w:val="24"/>
          <w:szCs w:val="24"/>
        </w:rPr>
        <w:t xml:space="preserve">. </w:t>
      </w:r>
    </w:p>
    <w:p w14:paraId="0E5E5DE5" w14:textId="77777777" w:rsidR="00E107B9" w:rsidRPr="005A3E29" w:rsidRDefault="00E107B9" w:rsidP="00E107B9">
      <w:pPr>
        <w:spacing w:line="360" w:lineRule="auto"/>
        <w:jc w:val="both"/>
        <w:rPr>
          <w:rFonts w:ascii="Times New Roman" w:hAnsi="Times New Roman" w:cs="Times New Roman"/>
          <w:sz w:val="24"/>
          <w:szCs w:val="24"/>
        </w:rPr>
      </w:pPr>
      <w:r w:rsidRPr="005A3E29">
        <w:rPr>
          <w:rFonts w:ascii="Times New Roman" w:hAnsi="Times New Roman" w:cs="Times New Roman"/>
          <w:sz w:val="24"/>
          <w:szCs w:val="24"/>
        </w:rPr>
        <w:t xml:space="preserve">By introducing their multidimensional poverty index, the World Bank joined the efforts of UNDP (with their MPI – Multidimensional Poverty Index) and UNICEF (with their MODA - Multidimensional Overlapping Deprivation Analysis, used predominantly to measure child poverty). These approaches were developed in the early 2000s and were focused on the shortcomings of the monetary approaches to capture poverty. The UNDP/OPHI </w:t>
      </w:r>
      <w:r>
        <w:rPr>
          <w:rFonts w:ascii="Times New Roman" w:hAnsi="Times New Roman" w:cs="Times New Roman"/>
          <w:sz w:val="24"/>
          <w:szCs w:val="24"/>
        </w:rPr>
        <w:t>is focused</w:t>
      </w:r>
      <w:r w:rsidRPr="005A3E29">
        <w:rPr>
          <w:rFonts w:ascii="Times New Roman" w:hAnsi="Times New Roman" w:cs="Times New Roman"/>
          <w:sz w:val="24"/>
          <w:szCs w:val="24"/>
        </w:rPr>
        <w:t xml:space="preserve"> on human development (UNDP, 2019), building on </w:t>
      </w:r>
      <w:r>
        <w:rPr>
          <w:rFonts w:ascii="Times New Roman" w:hAnsi="Times New Roman" w:cs="Times New Roman"/>
          <w:sz w:val="24"/>
          <w:szCs w:val="24"/>
        </w:rPr>
        <w:t xml:space="preserve">the </w:t>
      </w:r>
      <w:r w:rsidRPr="005A3E29">
        <w:rPr>
          <w:rFonts w:ascii="Times New Roman" w:hAnsi="Times New Roman" w:cs="Times New Roman"/>
          <w:sz w:val="24"/>
          <w:szCs w:val="24"/>
        </w:rPr>
        <w:t xml:space="preserve">‘capabilities’ approach </w:t>
      </w:r>
      <w:r>
        <w:rPr>
          <w:rFonts w:ascii="Times New Roman" w:hAnsi="Times New Roman" w:cs="Times New Roman"/>
          <w:sz w:val="24"/>
          <w:szCs w:val="24"/>
        </w:rPr>
        <w:t xml:space="preserve">(Sen, </w:t>
      </w:r>
      <w:r w:rsidRPr="005A3E29">
        <w:rPr>
          <w:rFonts w:ascii="Times New Roman" w:hAnsi="Times New Roman" w:cs="Times New Roman"/>
          <w:sz w:val="24"/>
          <w:szCs w:val="24"/>
        </w:rPr>
        <w:t xml:space="preserve">1979). The approaches employed by UNICEF (the Bristol Approach and MODA) are based on the Convention on the Rights of the Child </w:t>
      </w:r>
      <w:r w:rsidRPr="005A3E29">
        <w:rPr>
          <w:rFonts w:ascii="Times New Roman" w:hAnsi="Times New Roman" w:cs="Times New Roman"/>
          <w:noProof/>
          <w:sz w:val="24"/>
          <w:szCs w:val="24"/>
        </w:rPr>
        <w:t>(UN Assembly, 1989)</w:t>
      </w:r>
      <w:r w:rsidRPr="005A3E29">
        <w:rPr>
          <w:rFonts w:ascii="Times New Roman" w:hAnsi="Times New Roman" w:cs="Times New Roman"/>
          <w:sz w:val="24"/>
          <w:szCs w:val="24"/>
        </w:rPr>
        <w:t>. The newest approach – MODA (Multidimensional Overlapping Deprivation Analysis</w:t>
      </w:r>
      <w:r>
        <w:rPr>
          <w:rFonts w:ascii="Times New Roman" w:hAnsi="Times New Roman" w:cs="Times New Roman"/>
          <w:sz w:val="24"/>
          <w:szCs w:val="24"/>
        </w:rPr>
        <w:t>)</w:t>
      </w:r>
      <w:r w:rsidRPr="005A3E29">
        <w:rPr>
          <w:rFonts w:ascii="Times New Roman" w:hAnsi="Times New Roman" w:cs="Times New Roman"/>
          <w:vertAlign w:val="superscript"/>
        </w:rPr>
        <w:footnoteReference w:id="2"/>
      </w:r>
      <w:r w:rsidRPr="005A3E29">
        <w:rPr>
          <w:rFonts w:ascii="Times New Roman" w:hAnsi="Times New Roman" w:cs="Times New Roman"/>
          <w:sz w:val="24"/>
          <w:szCs w:val="24"/>
        </w:rPr>
        <w:t xml:space="preserve"> – was developed in 2012, building on the Bristol Approach. The focus of this measure is on overlapping areas of deprivation. </w:t>
      </w:r>
    </w:p>
    <w:p w14:paraId="5544BFCE" w14:textId="5D89C173" w:rsidR="00E107B9" w:rsidRPr="005A3E29" w:rsidRDefault="00E107B9" w:rsidP="00E107B9">
      <w:pPr>
        <w:spacing w:line="360" w:lineRule="auto"/>
        <w:jc w:val="both"/>
        <w:rPr>
          <w:rFonts w:ascii="Times New Roman" w:hAnsi="Times New Roman" w:cs="Times New Roman"/>
          <w:sz w:val="24"/>
          <w:szCs w:val="24"/>
        </w:rPr>
      </w:pPr>
      <w:r>
        <w:rPr>
          <w:rFonts w:ascii="Times New Roman" w:hAnsi="Times New Roman" w:cs="Times New Roman"/>
          <w:sz w:val="24"/>
          <w:szCs w:val="24"/>
        </w:rPr>
        <w:t>Key drivers</w:t>
      </w:r>
      <w:r w:rsidRPr="005A3E29">
        <w:rPr>
          <w:rFonts w:ascii="Times New Roman" w:hAnsi="Times New Roman" w:cs="Times New Roman"/>
          <w:sz w:val="24"/>
          <w:szCs w:val="24"/>
        </w:rPr>
        <w:t xml:space="preserve"> of global poverty measurement </w:t>
      </w:r>
      <w:r>
        <w:rPr>
          <w:rFonts w:ascii="Times New Roman" w:hAnsi="Times New Roman" w:cs="Times New Roman"/>
          <w:sz w:val="24"/>
          <w:szCs w:val="24"/>
        </w:rPr>
        <w:t>have</w:t>
      </w:r>
      <w:r w:rsidRPr="005A3E29">
        <w:rPr>
          <w:rFonts w:ascii="Times New Roman" w:hAnsi="Times New Roman" w:cs="Times New Roman"/>
          <w:sz w:val="24"/>
          <w:szCs w:val="24"/>
        </w:rPr>
        <w:t xml:space="preserve"> been the monitoring-through-goals programmes (Bierman, 2018) – the Sustainable Development Goals and their predecessors the Millennium Development Goals. </w:t>
      </w:r>
      <w:r>
        <w:rPr>
          <w:rFonts w:ascii="Times New Roman" w:hAnsi="Times New Roman" w:cs="Times New Roman"/>
          <w:sz w:val="24"/>
          <w:szCs w:val="24"/>
        </w:rPr>
        <w:t>SDG1</w:t>
      </w:r>
      <w:r w:rsidRPr="005A3E29">
        <w:rPr>
          <w:rFonts w:ascii="Times New Roman" w:hAnsi="Times New Roman" w:cs="Times New Roman"/>
          <w:sz w:val="24"/>
          <w:szCs w:val="24"/>
        </w:rPr>
        <w:t xml:space="preserve"> </w:t>
      </w:r>
      <w:r w:rsidR="007741FA">
        <w:rPr>
          <w:rFonts w:ascii="Times New Roman" w:hAnsi="Times New Roman" w:cs="Times New Roman"/>
          <w:sz w:val="24"/>
          <w:szCs w:val="24"/>
        </w:rPr>
        <w:t>aims to</w:t>
      </w:r>
      <w:r w:rsidRPr="005A3E29">
        <w:rPr>
          <w:rFonts w:ascii="Times New Roman" w:hAnsi="Times New Roman" w:cs="Times New Roman"/>
          <w:sz w:val="24"/>
          <w:szCs w:val="24"/>
        </w:rPr>
        <w:t xml:space="preserve"> ‘End poverty in all its forms everywhere’. The SDGs require monitoring of both the monetary poverty measurement (the International and country poverty lines) and the multidimensional poverty (as defined by the countries). The lack of consensus over the poverty measurement as well as a multiplicity of indicators produced in response to this diverse knowledge base reaffirms the KC point (O’Connor, 2001). The central quality of </w:t>
      </w:r>
      <w:r w:rsidR="007741FA">
        <w:rPr>
          <w:rFonts w:ascii="Times New Roman" w:hAnsi="Times New Roman" w:cs="Times New Roman"/>
          <w:sz w:val="24"/>
          <w:szCs w:val="24"/>
        </w:rPr>
        <w:t>the</w:t>
      </w:r>
      <w:r w:rsidRPr="005A3E29">
        <w:rPr>
          <w:rFonts w:ascii="Times New Roman" w:hAnsi="Times New Roman" w:cs="Times New Roman"/>
          <w:sz w:val="24"/>
          <w:szCs w:val="24"/>
        </w:rPr>
        <w:t xml:space="preserve"> controversy over poverty measurement is its diversity – it is not one singular controversy but rather an </w:t>
      </w:r>
      <w:r w:rsidR="007741FA">
        <w:rPr>
          <w:rFonts w:ascii="Times New Roman" w:hAnsi="Times New Roman" w:cs="Times New Roman"/>
          <w:sz w:val="24"/>
          <w:szCs w:val="24"/>
        </w:rPr>
        <w:t>enduring</w:t>
      </w:r>
      <w:r w:rsidRPr="005A3E29">
        <w:rPr>
          <w:rFonts w:ascii="Times New Roman" w:hAnsi="Times New Roman" w:cs="Times New Roman"/>
          <w:sz w:val="24"/>
          <w:szCs w:val="24"/>
        </w:rPr>
        <w:t xml:space="preserve"> controversy with multiple </w:t>
      </w:r>
      <w:r w:rsidR="007741FA">
        <w:rPr>
          <w:rFonts w:ascii="Times New Roman" w:hAnsi="Times New Roman" w:cs="Times New Roman"/>
          <w:sz w:val="24"/>
          <w:szCs w:val="24"/>
        </w:rPr>
        <w:t xml:space="preserve">internal </w:t>
      </w:r>
      <w:r w:rsidRPr="005A3E29">
        <w:rPr>
          <w:rFonts w:ascii="Times New Roman" w:hAnsi="Times New Roman" w:cs="Times New Roman"/>
          <w:sz w:val="24"/>
          <w:szCs w:val="24"/>
        </w:rPr>
        <w:t>points</w:t>
      </w:r>
      <w:r w:rsidR="007741FA">
        <w:rPr>
          <w:rFonts w:ascii="Times New Roman" w:hAnsi="Times New Roman" w:cs="Times New Roman"/>
          <w:sz w:val="24"/>
          <w:szCs w:val="24"/>
        </w:rPr>
        <w:t xml:space="preserve"> of tension</w:t>
      </w:r>
      <w:r w:rsidRPr="005A3E29">
        <w:rPr>
          <w:rFonts w:ascii="Times New Roman" w:hAnsi="Times New Roman" w:cs="Times New Roman"/>
          <w:sz w:val="24"/>
          <w:szCs w:val="24"/>
        </w:rPr>
        <w:t xml:space="preserve">. </w:t>
      </w:r>
    </w:p>
    <w:p w14:paraId="77FC1A9E" w14:textId="77777777" w:rsidR="0042096C" w:rsidRDefault="0042096C">
      <w:pPr>
        <w:rPr>
          <w:rFonts w:ascii="Times New Roman" w:hAnsi="Times New Roman" w:cs="Times New Roman"/>
          <w:i/>
          <w:iCs/>
          <w:color w:val="44546A" w:themeColor="text2"/>
          <w:szCs w:val="18"/>
        </w:rPr>
      </w:pPr>
      <w:r>
        <w:rPr>
          <w:rFonts w:ascii="Times New Roman" w:hAnsi="Times New Roman" w:cs="Times New Roman"/>
          <w:i/>
          <w:iCs/>
          <w:color w:val="44546A" w:themeColor="text2"/>
          <w:szCs w:val="18"/>
        </w:rPr>
        <w:br w:type="page"/>
      </w:r>
    </w:p>
    <w:p w14:paraId="497F22B8" w14:textId="12523D08" w:rsidR="00E107B9" w:rsidRPr="00E1196F" w:rsidRDefault="00E107B9" w:rsidP="00E107B9">
      <w:pPr>
        <w:keepNext/>
        <w:spacing w:after="200" w:line="240" w:lineRule="auto"/>
        <w:rPr>
          <w:rFonts w:ascii="Times New Roman" w:hAnsi="Times New Roman" w:cs="Times New Roman"/>
          <w:i/>
          <w:iCs/>
          <w:color w:val="44546A" w:themeColor="text2"/>
          <w:sz w:val="20"/>
          <w:szCs w:val="18"/>
        </w:rPr>
      </w:pPr>
      <w:r w:rsidRPr="001F69B4">
        <w:rPr>
          <w:rFonts w:ascii="Times New Roman" w:hAnsi="Times New Roman" w:cs="Times New Roman"/>
          <w:i/>
          <w:iCs/>
          <w:color w:val="44546A" w:themeColor="text2"/>
          <w:sz w:val="24"/>
          <w:szCs w:val="18"/>
        </w:rPr>
        <w:lastRenderedPageBreak/>
        <w:t xml:space="preserve">Table </w:t>
      </w:r>
      <w:r w:rsidRPr="001F69B4">
        <w:rPr>
          <w:rFonts w:ascii="Times New Roman" w:hAnsi="Times New Roman" w:cs="Times New Roman"/>
          <w:i/>
          <w:iCs/>
          <w:color w:val="44546A" w:themeColor="text2"/>
          <w:sz w:val="24"/>
          <w:szCs w:val="18"/>
        </w:rPr>
        <w:fldChar w:fldCharType="begin"/>
      </w:r>
      <w:r w:rsidRPr="001F69B4">
        <w:rPr>
          <w:rFonts w:ascii="Times New Roman" w:hAnsi="Times New Roman" w:cs="Times New Roman"/>
          <w:i/>
          <w:iCs/>
          <w:color w:val="44546A" w:themeColor="text2"/>
          <w:sz w:val="24"/>
          <w:szCs w:val="18"/>
        </w:rPr>
        <w:instrText xml:space="preserve"> SEQ Table \* ARABIC </w:instrText>
      </w:r>
      <w:r w:rsidRPr="001F69B4">
        <w:rPr>
          <w:rFonts w:ascii="Times New Roman" w:hAnsi="Times New Roman" w:cs="Times New Roman"/>
          <w:i/>
          <w:iCs/>
          <w:color w:val="44546A" w:themeColor="text2"/>
          <w:sz w:val="24"/>
          <w:szCs w:val="18"/>
        </w:rPr>
        <w:fldChar w:fldCharType="separate"/>
      </w:r>
      <w:r w:rsidRPr="001F69B4">
        <w:rPr>
          <w:rFonts w:ascii="Times New Roman" w:hAnsi="Times New Roman" w:cs="Times New Roman"/>
          <w:i/>
          <w:iCs/>
          <w:noProof/>
          <w:color w:val="44546A" w:themeColor="text2"/>
          <w:sz w:val="24"/>
          <w:szCs w:val="18"/>
        </w:rPr>
        <w:t>1</w:t>
      </w:r>
      <w:r w:rsidRPr="001F69B4">
        <w:rPr>
          <w:rFonts w:ascii="Times New Roman" w:hAnsi="Times New Roman" w:cs="Times New Roman"/>
          <w:i/>
          <w:iCs/>
          <w:color w:val="44546A" w:themeColor="text2"/>
          <w:sz w:val="24"/>
          <w:szCs w:val="18"/>
        </w:rPr>
        <w:fldChar w:fldCharType="end"/>
      </w:r>
      <w:r w:rsidRPr="001F69B4">
        <w:rPr>
          <w:rFonts w:ascii="Times New Roman" w:hAnsi="Times New Roman" w:cs="Times New Roman"/>
          <w:i/>
          <w:iCs/>
          <w:color w:val="44546A" w:themeColor="text2"/>
          <w:sz w:val="24"/>
          <w:szCs w:val="18"/>
        </w:rPr>
        <w:t>. An overview of global poverty measures</w:t>
      </w:r>
      <w:r w:rsidRPr="00E1196F">
        <w:rPr>
          <w:rFonts w:ascii="Times New Roman" w:hAnsi="Times New Roman" w:cs="Times New Roman"/>
          <w:i/>
          <w:iCs/>
          <w:color w:val="44546A" w:themeColor="text2"/>
          <w:sz w:val="20"/>
          <w:szCs w:val="18"/>
        </w:rPr>
        <w:t>.</w:t>
      </w:r>
    </w:p>
    <w:tbl>
      <w:tblPr>
        <w:tblStyle w:val="TableGrid"/>
        <w:tblW w:w="5000" w:type="pct"/>
        <w:tblLook w:val="04A0" w:firstRow="1" w:lastRow="0" w:firstColumn="1" w:lastColumn="0" w:noHBand="0" w:noVBand="1"/>
      </w:tblPr>
      <w:tblGrid>
        <w:gridCol w:w="2251"/>
        <w:gridCol w:w="2442"/>
        <w:gridCol w:w="1872"/>
        <w:gridCol w:w="2451"/>
      </w:tblGrid>
      <w:tr w:rsidR="00E107B9" w:rsidRPr="005A3E29" w14:paraId="127E3160" w14:textId="77777777" w:rsidTr="00260B64">
        <w:tc>
          <w:tcPr>
            <w:tcW w:w="1248" w:type="pct"/>
          </w:tcPr>
          <w:p w14:paraId="2D63C15D" w14:textId="77777777" w:rsidR="00E107B9" w:rsidRPr="0042096C" w:rsidRDefault="00E107B9" w:rsidP="00260B64">
            <w:pPr>
              <w:rPr>
                <w:rFonts w:ascii="Times New Roman" w:hAnsi="Times New Roman" w:cs="Times New Roman"/>
                <w:b/>
              </w:rPr>
            </w:pPr>
            <w:r w:rsidRPr="0042096C">
              <w:rPr>
                <w:rFonts w:ascii="Times New Roman" w:hAnsi="Times New Roman" w:cs="Times New Roman"/>
                <w:b/>
              </w:rPr>
              <w:t>Measure</w:t>
            </w:r>
          </w:p>
        </w:tc>
        <w:tc>
          <w:tcPr>
            <w:tcW w:w="1354" w:type="pct"/>
          </w:tcPr>
          <w:p w14:paraId="66FDE26D" w14:textId="77777777" w:rsidR="00E107B9" w:rsidRPr="0042096C" w:rsidRDefault="00E107B9" w:rsidP="00260B64">
            <w:pPr>
              <w:rPr>
                <w:rFonts w:ascii="Times New Roman" w:hAnsi="Times New Roman" w:cs="Times New Roman"/>
                <w:b/>
              </w:rPr>
            </w:pPr>
            <w:r w:rsidRPr="0042096C">
              <w:rPr>
                <w:rFonts w:ascii="Times New Roman" w:hAnsi="Times New Roman" w:cs="Times New Roman"/>
                <w:b/>
              </w:rPr>
              <w:t>Institution</w:t>
            </w:r>
          </w:p>
        </w:tc>
        <w:tc>
          <w:tcPr>
            <w:tcW w:w="1038" w:type="pct"/>
          </w:tcPr>
          <w:p w14:paraId="34E4610A" w14:textId="77777777" w:rsidR="00E107B9" w:rsidRPr="0042096C" w:rsidRDefault="00E107B9" w:rsidP="00260B64">
            <w:pPr>
              <w:rPr>
                <w:rFonts w:ascii="Times New Roman" w:hAnsi="Times New Roman" w:cs="Times New Roman"/>
                <w:b/>
              </w:rPr>
            </w:pPr>
            <w:r w:rsidRPr="0042096C">
              <w:rPr>
                <w:rFonts w:ascii="Times New Roman" w:hAnsi="Times New Roman" w:cs="Times New Roman"/>
                <w:b/>
              </w:rPr>
              <w:t>Defining the population</w:t>
            </w:r>
          </w:p>
        </w:tc>
        <w:tc>
          <w:tcPr>
            <w:tcW w:w="1359" w:type="pct"/>
          </w:tcPr>
          <w:p w14:paraId="386B969F" w14:textId="77777777" w:rsidR="00E107B9" w:rsidRPr="0042096C" w:rsidRDefault="00E107B9" w:rsidP="00260B64">
            <w:pPr>
              <w:rPr>
                <w:rFonts w:ascii="Times New Roman" w:hAnsi="Times New Roman" w:cs="Times New Roman"/>
                <w:b/>
              </w:rPr>
            </w:pPr>
            <w:r w:rsidRPr="0042096C">
              <w:rPr>
                <w:rFonts w:ascii="Times New Roman" w:hAnsi="Times New Roman" w:cs="Times New Roman"/>
                <w:b/>
              </w:rPr>
              <w:t>Dimensions of poverty</w:t>
            </w:r>
          </w:p>
        </w:tc>
      </w:tr>
      <w:tr w:rsidR="00E107B9" w:rsidRPr="005A3E29" w14:paraId="279D8A5F" w14:textId="77777777" w:rsidTr="00260B64">
        <w:tc>
          <w:tcPr>
            <w:tcW w:w="1248" w:type="pct"/>
          </w:tcPr>
          <w:p w14:paraId="0E38DAAA"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International poverty line </w:t>
            </w:r>
          </w:p>
        </w:tc>
        <w:tc>
          <w:tcPr>
            <w:tcW w:w="1354" w:type="pct"/>
          </w:tcPr>
          <w:p w14:paraId="3629545F"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World Bank</w:t>
            </w:r>
          </w:p>
        </w:tc>
        <w:tc>
          <w:tcPr>
            <w:tcW w:w="1038" w:type="pct"/>
          </w:tcPr>
          <w:p w14:paraId="6A968538"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2B81A4D7"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Monetary</w:t>
            </w:r>
          </w:p>
        </w:tc>
      </w:tr>
      <w:tr w:rsidR="00E107B9" w:rsidRPr="005A3E29" w14:paraId="41F2A40A" w14:textId="77777777" w:rsidTr="00260B64">
        <w:tc>
          <w:tcPr>
            <w:tcW w:w="1248" w:type="pct"/>
          </w:tcPr>
          <w:p w14:paraId="61D2362D"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MODA</w:t>
            </w:r>
          </w:p>
        </w:tc>
        <w:tc>
          <w:tcPr>
            <w:tcW w:w="1354" w:type="pct"/>
          </w:tcPr>
          <w:p w14:paraId="58754A1E"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UNICEF</w:t>
            </w:r>
          </w:p>
        </w:tc>
        <w:tc>
          <w:tcPr>
            <w:tcW w:w="1038" w:type="pct"/>
          </w:tcPr>
          <w:p w14:paraId="26A93EB6"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Individual </w:t>
            </w:r>
          </w:p>
        </w:tc>
        <w:tc>
          <w:tcPr>
            <w:tcW w:w="1359" w:type="pct"/>
          </w:tcPr>
          <w:p w14:paraId="45D78F7A"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Multidimensional</w:t>
            </w:r>
          </w:p>
          <w:p w14:paraId="79A82078"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Dimensions include: Nutrition, Health, Water, Sanitation, Housing, Education, Information, Protection from violence</w:t>
            </w:r>
          </w:p>
        </w:tc>
      </w:tr>
      <w:tr w:rsidR="00E107B9" w:rsidRPr="005A3E29" w14:paraId="68999817" w14:textId="77777777" w:rsidTr="00260B64">
        <w:tc>
          <w:tcPr>
            <w:tcW w:w="1248" w:type="pct"/>
          </w:tcPr>
          <w:p w14:paraId="148BE4A2"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Bristol Approach</w:t>
            </w:r>
          </w:p>
        </w:tc>
        <w:tc>
          <w:tcPr>
            <w:tcW w:w="1354" w:type="pct"/>
          </w:tcPr>
          <w:p w14:paraId="55CEDBE3"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UNICEF, University of Bristol</w:t>
            </w:r>
          </w:p>
        </w:tc>
        <w:tc>
          <w:tcPr>
            <w:tcW w:w="1038" w:type="pct"/>
          </w:tcPr>
          <w:p w14:paraId="7BD686C7"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Individual</w:t>
            </w:r>
          </w:p>
        </w:tc>
        <w:tc>
          <w:tcPr>
            <w:tcW w:w="1359" w:type="pct"/>
          </w:tcPr>
          <w:p w14:paraId="6FFD6F09"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Education, Health, Nutrition, Water, Sanitation, Shelter, Information</w:t>
            </w:r>
          </w:p>
        </w:tc>
      </w:tr>
      <w:tr w:rsidR="00E107B9" w:rsidRPr="005A3E29" w14:paraId="1B813DD8" w14:textId="77777777" w:rsidTr="00260B64">
        <w:tc>
          <w:tcPr>
            <w:tcW w:w="1248" w:type="pct"/>
          </w:tcPr>
          <w:p w14:paraId="676C92E1"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MPI</w:t>
            </w:r>
          </w:p>
        </w:tc>
        <w:tc>
          <w:tcPr>
            <w:tcW w:w="1354" w:type="pct"/>
          </w:tcPr>
          <w:p w14:paraId="4B4BAA7D"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OPHI, UNDP</w:t>
            </w:r>
          </w:p>
        </w:tc>
        <w:tc>
          <w:tcPr>
            <w:tcW w:w="1038" w:type="pct"/>
          </w:tcPr>
          <w:p w14:paraId="30D854B4"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76364851"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Multidimensional. Dimensions include: Health, Education, Living standards</w:t>
            </w:r>
          </w:p>
        </w:tc>
      </w:tr>
      <w:tr w:rsidR="00E107B9" w:rsidRPr="005A3E29" w14:paraId="0D27F5A5" w14:textId="77777777" w:rsidTr="00260B64">
        <w:tc>
          <w:tcPr>
            <w:tcW w:w="1248" w:type="pct"/>
          </w:tcPr>
          <w:p w14:paraId="482E4908"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Multidimensional Poverty Measure</w:t>
            </w:r>
          </w:p>
        </w:tc>
        <w:tc>
          <w:tcPr>
            <w:tcW w:w="1354" w:type="pct"/>
          </w:tcPr>
          <w:p w14:paraId="32B48F46"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World Bank</w:t>
            </w:r>
          </w:p>
        </w:tc>
        <w:tc>
          <w:tcPr>
            <w:tcW w:w="1038" w:type="pct"/>
          </w:tcPr>
          <w:p w14:paraId="53E94253"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36A25873"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Multidimensional. Dimensions include: Monetary well-being, Education, Access to basic infrastructure, Health and Nutrition, Household Security</w:t>
            </w:r>
          </w:p>
        </w:tc>
      </w:tr>
      <w:tr w:rsidR="00E107B9" w:rsidRPr="005A3E29" w14:paraId="5500F637" w14:textId="77777777" w:rsidTr="00260B64">
        <w:tc>
          <w:tcPr>
            <w:tcW w:w="1248" w:type="pct"/>
          </w:tcPr>
          <w:p w14:paraId="51076174"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Societal Poverty Line</w:t>
            </w:r>
          </w:p>
        </w:tc>
        <w:tc>
          <w:tcPr>
            <w:tcW w:w="1354" w:type="pct"/>
          </w:tcPr>
          <w:p w14:paraId="233286EB"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World Bank</w:t>
            </w:r>
          </w:p>
        </w:tc>
        <w:tc>
          <w:tcPr>
            <w:tcW w:w="1038" w:type="pct"/>
          </w:tcPr>
          <w:p w14:paraId="646EAECD"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0534C89E"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Monetary</w:t>
            </w:r>
          </w:p>
        </w:tc>
      </w:tr>
      <w:tr w:rsidR="00E107B9" w:rsidRPr="005A3E29" w14:paraId="4E9E98AD" w14:textId="77777777" w:rsidTr="00260B64">
        <w:tc>
          <w:tcPr>
            <w:tcW w:w="1248" w:type="pct"/>
          </w:tcPr>
          <w:p w14:paraId="20F28B40"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Middle-income country poverty line</w:t>
            </w:r>
          </w:p>
        </w:tc>
        <w:tc>
          <w:tcPr>
            <w:tcW w:w="1354" w:type="pct"/>
          </w:tcPr>
          <w:p w14:paraId="13D4E5FA"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World Bank</w:t>
            </w:r>
          </w:p>
        </w:tc>
        <w:tc>
          <w:tcPr>
            <w:tcW w:w="1038" w:type="pct"/>
          </w:tcPr>
          <w:p w14:paraId="6987657C"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0A4D32B2"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Monetary</w:t>
            </w:r>
          </w:p>
        </w:tc>
      </w:tr>
      <w:tr w:rsidR="00E107B9" w:rsidRPr="005A3E29" w14:paraId="7990BBEC" w14:textId="77777777" w:rsidTr="00187464">
        <w:trPr>
          <w:trHeight w:val="45"/>
        </w:trPr>
        <w:tc>
          <w:tcPr>
            <w:tcW w:w="1248" w:type="pct"/>
          </w:tcPr>
          <w:p w14:paraId="3553FFA9"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High-income country poverty line</w:t>
            </w:r>
          </w:p>
        </w:tc>
        <w:tc>
          <w:tcPr>
            <w:tcW w:w="1354" w:type="pct"/>
          </w:tcPr>
          <w:p w14:paraId="7283D5ED"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The World Bank</w:t>
            </w:r>
          </w:p>
        </w:tc>
        <w:tc>
          <w:tcPr>
            <w:tcW w:w="1038" w:type="pct"/>
          </w:tcPr>
          <w:p w14:paraId="46B2D5A4"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 xml:space="preserve">Household  </w:t>
            </w:r>
          </w:p>
        </w:tc>
        <w:tc>
          <w:tcPr>
            <w:tcW w:w="1359" w:type="pct"/>
          </w:tcPr>
          <w:p w14:paraId="55BAC7D3" w14:textId="77777777" w:rsidR="00E107B9" w:rsidRPr="0042096C" w:rsidRDefault="00E107B9" w:rsidP="00260B64">
            <w:pPr>
              <w:rPr>
                <w:rFonts w:ascii="Times New Roman" w:hAnsi="Times New Roman" w:cs="Times New Roman"/>
              </w:rPr>
            </w:pPr>
            <w:r w:rsidRPr="0042096C">
              <w:rPr>
                <w:rFonts w:ascii="Times New Roman" w:hAnsi="Times New Roman" w:cs="Times New Roman"/>
              </w:rPr>
              <w:t>Monetary</w:t>
            </w:r>
          </w:p>
        </w:tc>
      </w:tr>
    </w:tbl>
    <w:p w14:paraId="31EDD3D7" w14:textId="35405BB1" w:rsidR="00E107B9" w:rsidRPr="005A3E29" w:rsidRDefault="00E107B9" w:rsidP="0042096C">
      <w:pPr>
        <w:rPr>
          <w:rFonts w:ascii="Times New Roman" w:hAnsi="Times New Roman" w:cs="Times New Roman"/>
          <w:sz w:val="24"/>
          <w:szCs w:val="24"/>
        </w:rPr>
      </w:pPr>
    </w:p>
    <w:p w14:paraId="780C49EB" w14:textId="77777777" w:rsidR="00E107B9" w:rsidRPr="0042096C" w:rsidRDefault="00E107B9" w:rsidP="00E107B9">
      <w:pPr>
        <w:pBdr>
          <w:top w:val="single" w:sz="4" w:space="0" w:color="auto"/>
          <w:left w:val="single" w:sz="4" w:space="4" w:color="auto"/>
          <w:bottom w:val="single" w:sz="4" w:space="1" w:color="auto"/>
          <w:right w:val="single" w:sz="4" w:space="4" w:color="auto"/>
        </w:pBdr>
        <w:shd w:val="clear" w:color="auto" w:fill="E7E6E6"/>
        <w:spacing w:after="0" w:line="360" w:lineRule="auto"/>
        <w:jc w:val="center"/>
        <w:rPr>
          <w:rFonts w:ascii="Times New Roman" w:eastAsia="Times New Roman" w:hAnsi="Times New Roman" w:cs="Times New Roman"/>
          <w:b/>
          <w:lang w:val="en-US"/>
        </w:rPr>
      </w:pPr>
      <w:r w:rsidRPr="0042096C">
        <w:rPr>
          <w:rFonts w:ascii="Times New Roman" w:eastAsia="Times New Roman" w:hAnsi="Times New Roman" w:cs="Times New Roman"/>
          <w:b/>
          <w:lang w:val="en-US"/>
        </w:rPr>
        <w:t>Box 1</w:t>
      </w:r>
      <w:r w:rsidRPr="0042096C">
        <w:rPr>
          <w:rFonts w:ascii="Times New Roman" w:eastAsia="Times New Roman" w:hAnsi="Times New Roman" w:cs="Times New Roman"/>
          <w:b/>
          <w:lang w:val="en-US"/>
        </w:rPr>
        <w:br/>
        <w:t>Sustainable Development Goal 1:</w:t>
      </w:r>
    </w:p>
    <w:p w14:paraId="0A7CB875" w14:textId="77777777"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b/>
          <w:lang w:val="en-US"/>
        </w:rPr>
      </w:pPr>
      <w:r w:rsidRPr="0042096C">
        <w:rPr>
          <w:rFonts w:ascii="Times New Roman" w:eastAsia="Times New Roman" w:hAnsi="Times New Roman" w:cs="Times New Roman"/>
          <w:b/>
          <w:lang w:val="en-US"/>
        </w:rPr>
        <w:t xml:space="preserve"> “End Poverty in All Its Forms Everywhere”</w:t>
      </w:r>
    </w:p>
    <w:p w14:paraId="6DBD0C2F" w14:textId="77777777"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lang w:val="en-US"/>
        </w:rPr>
      </w:pPr>
      <w:r w:rsidRPr="0042096C">
        <w:rPr>
          <w:rFonts w:ascii="Times New Roman" w:eastAsia="Times New Roman" w:hAnsi="Times New Roman" w:cs="Times New Roman"/>
          <w:b/>
          <w:lang w:val="en-US"/>
        </w:rPr>
        <w:t>Target 1.1</w:t>
      </w:r>
      <w:r w:rsidRPr="0042096C">
        <w:rPr>
          <w:rFonts w:ascii="Times New Roman" w:eastAsia="Times New Roman" w:hAnsi="Times New Roman" w:cs="Times New Roman"/>
          <w:lang w:val="en-US"/>
        </w:rPr>
        <w:t>: By 2030, eradicate extreme poverty for all people everywhere, currently measured as people living on less than $1.25 a day.</w:t>
      </w:r>
    </w:p>
    <w:p w14:paraId="19B38779" w14:textId="134BF871"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lang w:val="en-US"/>
        </w:rPr>
      </w:pPr>
      <w:r w:rsidRPr="0042096C">
        <w:rPr>
          <w:rFonts w:ascii="Times New Roman" w:eastAsia="Times New Roman" w:hAnsi="Times New Roman" w:cs="Times New Roman"/>
          <w:b/>
          <w:lang w:val="en-US"/>
        </w:rPr>
        <w:t>Indicator 1.1.1:</w:t>
      </w:r>
      <w:r w:rsidRPr="0042096C">
        <w:rPr>
          <w:rFonts w:ascii="Times New Roman" w:eastAsia="Times New Roman" w:hAnsi="Times New Roman" w:cs="Times New Roman"/>
          <w:lang w:val="en-US"/>
        </w:rPr>
        <w:t xml:space="preserve"> Proportion of population below the international poverty line, by sex, age, employment status and geographical location (urban/rural).</w:t>
      </w:r>
    </w:p>
    <w:p w14:paraId="1760E229" w14:textId="77777777"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lang w:val="en-US"/>
        </w:rPr>
      </w:pPr>
      <w:r w:rsidRPr="0042096C">
        <w:rPr>
          <w:rFonts w:ascii="Times New Roman" w:eastAsia="Times New Roman" w:hAnsi="Times New Roman" w:cs="Times New Roman"/>
          <w:b/>
          <w:lang w:val="en-US"/>
        </w:rPr>
        <w:t>Target 1.2:</w:t>
      </w:r>
      <w:r w:rsidRPr="0042096C">
        <w:rPr>
          <w:rFonts w:ascii="Times New Roman" w:eastAsia="Times New Roman" w:hAnsi="Times New Roman" w:cs="Times New Roman"/>
          <w:lang w:val="en-US"/>
        </w:rPr>
        <w:t xml:space="preserve"> By 2030, reduce at least by half the proportion of men, women and children of all ages living in poverty in all its dimensions according to national definitions.</w:t>
      </w:r>
    </w:p>
    <w:p w14:paraId="7AD0F105" w14:textId="77777777"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lang w:val="en-US"/>
        </w:rPr>
      </w:pPr>
      <w:r w:rsidRPr="0042096C">
        <w:rPr>
          <w:rFonts w:ascii="Times New Roman" w:eastAsia="Times New Roman" w:hAnsi="Times New Roman" w:cs="Times New Roman"/>
          <w:b/>
          <w:lang w:val="en-US"/>
        </w:rPr>
        <w:t>Indicator 1.2.1</w:t>
      </w:r>
      <w:r w:rsidRPr="0042096C">
        <w:rPr>
          <w:rFonts w:ascii="Times New Roman" w:eastAsia="Times New Roman" w:hAnsi="Times New Roman" w:cs="Times New Roman"/>
          <w:lang w:val="en-US"/>
        </w:rPr>
        <w:t>: Proportion of population living below the national poverty line, by sex and age.</w:t>
      </w:r>
    </w:p>
    <w:p w14:paraId="3CBB3A83" w14:textId="77777777" w:rsidR="00E107B9" w:rsidRPr="0042096C" w:rsidRDefault="00E107B9" w:rsidP="0042096C">
      <w:pPr>
        <w:pBdr>
          <w:top w:val="single" w:sz="4" w:space="0" w:color="auto"/>
          <w:left w:val="single" w:sz="4" w:space="4" w:color="auto"/>
          <w:bottom w:val="single" w:sz="4" w:space="1" w:color="auto"/>
          <w:right w:val="single" w:sz="4" w:space="4" w:color="auto"/>
        </w:pBdr>
        <w:shd w:val="clear" w:color="auto" w:fill="E7E6E6"/>
        <w:spacing w:after="0" w:line="360" w:lineRule="auto"/>
        <w:jc w:val="both"/>
        <w:rPr>
          <w:rFonts w:ascii="Times New Roman" w:eastAsia="Times New Roman" w:hAnsi="Times New Roman" w:cs="Times New Roman"/>
          <w:lang w:val="en-US"/>
        </w:rPr>
      </w:pPr>
      <w:r w:rsidRPr="0042096C">
        <w:rPr>
          <w:rFonts w:ascii="Times New Roman" w:eastAsia="Times New Roman" w:hAnsi="Times New Roman" w:cs="Times New Roman"/>
          <w:b/>
          <w:lang w:val="en-US"/>
        </w:rPr>
        <w:t>Indicator 1.2.2:</w:t>
      </w:r>
      <w:r w:rsidRPr="0042096C">
        <w:rPr>
          <w:rFonts w:ascii="Times New Roman" w:eastAsia="Times New Roman" w:hAnsi="Times New Roman" w:cs="Times New Roman"/>
          <w:lang w:val="en-US"/>
        </w:rPr>
        <w:t xml:space="preserve"> Proportion of men, women and children of all ages living in poverty in all its dimensions according to national definitions.</w:t>
      </w:r>
    </w:p>
    <w:p w14:paraId="75C08A6E" w14:textId="77777777" w:rsidR="00E107B9" w:rsidRPr="005A3E29" w:rsidRDefault="00E107B9" w:rsidP="00E107B9">
      <w:pPr>
        <w:spacing w:line="360" w:lineRule="auto"/>
        <w:jc w:val="both"/>
        <w:rPr>
          <w:rFonts w:ascii="Times New Roman" w:hAnsi="Times New Roman" w:cs="Times New Roman"/>
          <w:b/>
          <w:sz w:val="24"/>
          <w:szCs w:val="24"/>
        </w:rPr>
      </w:pPr>
    </w:p>
    <w:p w14:paraId="768B8BCE" w14:textId="593BED48" w:rsidR="00E107B9" w:rsidRPr="005A3E29" w:rsidRDefault="009D71D7" w:rsidP="00E107B9">
      <w:pPr>
        <w:numPr>
          <w:ilvl w:val="1"/>
          <w:numId w:val="2"/>
        </w:num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107B9" w:rsidRPr="005A3E29">
        <w:rPr>
          <w:rFonts w:ascii="Times New Roman" w:hAnsi="Times New Roman" w:cs="Times New Roman"/>
          <w:b/>
          <w:sz w:val="24"/>
          <w:szCs w:val="24"/>
        </w:rPr>
        <w:t xml:space="preserve">Data collection and analysis </w:t>
      </w:r>
    </w:p>
    <w:p w14:paraId="627F42C3" w14:textId="0F3AB463" w:rsidR="00E107B9" w:rsidRPr="005A3E29" w:rsidRDefault="00E107B9" w:rsidP="00E107B9">
      <w:pPr>
        <w:spacing w:line="360" w:lineRule="auto"/>
        <w:jc w:val="both"/>
        <w:rPr>
          <w:rFonts w:ascii="Times New Roman" w:hAnsi="Times New Roman" w:cs="Times New Roman"/>
          <w:sz w:val="24"/>
          <w:szCs w:val="24"/>
        </w:rPr>
      </w:pPr>
      <w:r w:rsidRPr="005A3E29">
        <w:rPr>
          <w:rFonts w:ascii="Times New Roman" w:hAnsi="Times New Roman" w:cs="Times New Roman"/>
          <w:sz w:val="24"/>
          <w:szCs w:val="24"/>
        </w:rPr>
        <w:t xml:space="preserve">The </w:t>
      </w:r>
      <w:r>
        <w:rPr>
          <w:rFonts w:ascii="Times New Roman" w:hAnsi="Times New Roman" w:cs="Times New Roman"/>
          <w:sz w:val="24"/>
          <w:szCs w:val="24"/>
        </w:rPr>
        <w:t>paper</w:t>
      </w:r>
      <w:r w:rsidRPr="005A3E29">
        <w:rPr>
          <w:rFonts w:ascii="Times New Roman" w:hAnsi="Times New Roman" w:cs="Times New Roman"/>
          <w:sz w:val="24"/>
          <w:szCs w:val="24"/>
        </w:rPr>
        <w:t xml:space="preserve"> employs a comparative case study methodology exploring t</w:t>
      </w:r>
      <w:r>
        <w:rPr>
          <w:rFonts w:ascii="Times New Roman" w:hAnsi="Times New Roman" w:cs="Times New Roman"/>
          <w:sz w:val="24"/>
          <w:szCs w:val="24"/>
        </w:rPr>
        <w:t>hree</w:t>
      </w:r>
      <w:r w:rsidRPr="005A3E29">
        <w:rPr>
          <w:rFonts w:ascii="Times New Roman" w:hAnsi="Times New Roman" w:cs="Times New Roman"/>
          <w:sz w:val="24"/>
          <w:szCs w:val="24"/>
        </w:rPr>
        <w:t xml:space="preserve"> </w:t>
      </w:r>
      <w:r w:rsidR="007741FA">
        <w:rPr>
          <w:rFonts w:ascii="Times New Roman" w:hAnsi="Times New Roman" w:cs="Times New Roman"/>
          <w:sz w:val="24"/>
          <w:szCs w:val="24"/>
        </w:rPr>
        <w:t xml:space="preserve">key IOs </w:t>
      </w:r>
      <w:r w:rsidRPr="005A3E29">
        <w:rPr>
          <w:rFonts w:ascii="Times New Roman" w:hAnsi="Times New Roman" w:cs="Times New Roman"/>
          <w:sz w:val="24"/>
          <w:szCs w:val="24"/>
        </w:rPr>
        <w:t>responsible for global poverty measurement – the World Bank</w:t>
      </w:r>
      <w:r>
        <w:rPr>
          <w:rFonts w:ascii="Times New Roman" w:hAnsi="Times New Roman" w:cs="Times New Roman"/>
          <w:sz w:val="24"/>
          <w:szCs w:val="24"/>
        </w:rPr>
        <w:t>,</w:t>
      </w:r>
      <w:r w:rsidRPr="005A3E29">
        <w:rPr>
          <w:rFonts w:ascii="Times New Roman" w:hAnsi="Times New Roman" w:cs="Times New Roman"/>
          <w:sz w:val="24"/>
          <w:szCs w:val="24"/>
        </w:rPr>
        <w:t xml:space="preserve"> UNICEF</w:t>
      </w:r>
      <w:r w:rsidR="007741FA">
        <w:rPr>
          <w:rFonts w:ascii="Times New Roman" w:hAnsi="Times New Roman" w:cs="Times New Roman"/>
          <w:sz w:val="24"/>
          <w:szCs w:val="24"/>
        </w:rPr>
        <w:t>,</w:t>
      </w:r>
      <w:r>
        <w:rPr>
          <w:rFonts w:ascii="Times New Roman" w:hAnsi="Times New Roman" w:cs="Times New Roman"/>
          <w:sz w:val="24"/>
          <w:szCs w:val="24"/>
        </w:rPr>
        <w:t xml:space="preserve"> and UNDP</w:t>
      </w:r>
      <w:r w:rsidRPr="005A3E29">
        <w:rPr>
          <w:rFonts w:ascii="Times New Roman" w:hAnsi="Times New Roman" w:cs="Times New Roman"/>
          <w:sz w:val="24"/>
          <w:szCs w:val="24"/>
        </w:rPr>
        <w:t xml:space="preserve">. Case selection was based on a comparison between ‘extreme’ cases </w:t>
      </w:r>
      <w:r w:rsidRPr="005A3E29">
        <w:rPr>
          <w:rFonts w:ascii="Times New Roman" w:hAnsi="Times New Roman" w:cs="Times New Roman"/>
          <w:noProof/>
          <w:sz w:val="24"/>
          <w:szCs w:val="24"/>
        </w:rPr>
        <w:t>(Bennett &amp; Elman, 2006)</w:t>
      </w:r>
      <w:r w:rsidRPr="005A3E29">
        <w:rPr>
          <w:rFonts w:ascii="Times New Roman" w:hAnsi="Times New Roman" w:cs="Times New Roman"/>
          <w:sz w:val="24"/>
          <w:szCs w:val="24"/>
        </w:rPr>
        <w:t xml:space="preserve"> in terms of their methodological approach to poverty measurement: The World Bank employing absolute poverty lines and drawing on household-level data, and UNICEF employing multidimensional poverty measurement drawing on individual-level data (exploring inter-household deprivations). </w:t>
      </w:r>
    </w:p>
    <w:p w14:paraId="47312674" w14:textId="02B5AAFE" w:rsidR="00E107B9" w:rsidRDefault="00E107B9" w:rsidP="00E107B9">
      <w:pPr>
        <w:spacing w:line="360" w:lineRule="auto"/>
        <w:jc w:val="both"/>
        <w:rPr>
          <w:rFonts w:ascii="Times New Roman" w:hAnsi="Times New Roman" w:cs="Times New Roman"/>
          <w:sz w:val="24"/>
          <w:szCs w:val="24"/>
        </w:rPr>
      </w:pPr>
      <w:r w:rsidRPr="005A3E29">
        <w:rPr>
          <w:rFonts w:ascii="Times New Roman" w:hAnsi="Times New Roman" w:cs="Times New Roman"/>
          <w:sz w:val="24"/>
          <w:szCs w:val="24"/>
        </w:rPr>
        <w:t>The research draws on 4</w:t>
      </w:r>
      <w:r>
        <w:rPr>
          <w:rFonts w:ascii="Times New Roman" w:hAnsi="Times New Roman" w:cs="Times New Roman"/>
          <w:sz w:val="24"/>
          <w:szCs w:val="24"/>
        </w:rPr>
        <w:t>6</w:t>
      </w:r>
      <w:r w:rsidRPr="005A3E29">
        <w:rPr>
          <w:rFonts w:ascii="Times New Roman" w:hAnsi="Times New Roman" w:cs="Times New Roman"/>
          <w:sz w:val="24"/>
          <w:szCs w:val="24"/>
        </w:rPr>
        <w:t xml:space="preserve"> </w:t>
      </w:r>
      <w:r>
        <w:rPr>
          <w:rFonts w:ascii="Times New Roman" w:hAnsi="Times New Roman" w:cs="Times New Roman"/>
          <w:sz w:val="24"/>
          <w:szCs w:val="24"/>
        </w:rPr>
        <w:t>semi-structured</w:t>
      </w:r>
      <w:r w:rsidRPr="005A3E29">
        <w:rPr>
          <w:rFonts w:ascii="Times New Roman" w:hAnsi="Times New Roman" w:cs="Times New Roman"/>
          <w:sz w:val="24"/>
          <w:szCs w:val="24"/>
        </w:rPr>
        <w:t xml:space="preserve"> interviews</w:t>
      </w:r>
      <w:r>
        <w:rPr>
          <w:rFonts w:ascii="Times New Roman" w:hAnsi="Times New Roman" w:cs="Times New Roman"/>
          <w:sz w:val="24"/>
          <w:szCs w:val="24"/>
        </w:rPr>
        <w:t xml:space="preserve"> with experts at different levels of seniority working for the IOs (e.g. economists, statisticians, policy analysts) as well as with other professionals working for the IOs in an advisory or consulting capacity</w:t>
      </w:r>
      <w:r w:rsidR="007E0B2E">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(e.g. academics).</w:t>
      </w:r>
      <w:r w:rsidRPr="005A3E29">
        <w:rPr>
          <w:rFonts w:ascii="Times New Roman" w:hAnsi="Times New Roman" w:cs="Times New Roman"/>
          <w:sz w:val="24"/>
          <w:szCs w:val="24"/>
        </w:rPr>
        <w:t xml:space="preserve"> The interviews follow</w:t>
      </w:r>
      <w:r>
        <w:rPr>
          <w:rFonts w:ascii="Times New Roman" w:hAnsi="Times New Roman" w:cs="Times New Roman"/>
          <w:sz w:val="24"/>
          <w:szCs w:val="24"/>
        </w:rPr>
        <w:t>ed</w:t>
      </w:r>
      <w:r w:rsidRPr="005A3E29">
        <w:rPr>
          <w:rFonts w:ascii="Times New Roman" w:hAnsi="Times New Roman" w:cs="Times New Roman"/>
          <w:sz w:val="24"/>
          <w:szCs w:val="24"/>
        </w:rPr>
        <w:t xml:space="preserve"> a topic gu</w:t>
      </w:r>
      <w:r w:rsidR="00644196">
        <w:rPr>
          <w:rFonts w:ascii="Times New Roman" w:hAnsi="Times New Roman" w:cs="Times New Roman"/>
          <w:sz w:val="24"/>
          <w:szCs w:val="24"/>
        </w:rPr>
        <w:t>ide covering four main themes: A</w:t>
      </w:r>
      <w:r w:rsidRPr="005A3E29">
        <w:rPr>
          <w:rFonts w:ascii="Times New Roman" w:hAnsi="Times New Roman" w:cs="Times New Roman"/>
          <w:sz w:val="24"/>
          <w:szCs w:val="24"/>
        </w:rPr>
        <w:t xml:space="preserve">pproaches to measuring poverty, challenges and facilitators of poverty measurement, collaboration with partners, and the role of measurement in poverty reduction. The interviewee selection was based on </w:t>
      </w:r>
      <w:r>
        <w:rPr>
          <w:rFonts w:ascii="Times New Roman" w:hAnsi="Times New Roman" w:cs="Times New Roman"/>
          <w:sz w:val="24"/>
          <w:szCs w:val="24"/>
        </w:rPr>
        <w:t>an</w:t>
      </w:r>
      <w:r w:rsidRPr="005A3E29">
        <w:rPr>
          <w:rFonts w:ascii="Times New Roman" w:hAnsi="Times New Roman" w:cs="Times New Roman"/>
          <w:sz w:val="24"/>
          <w:szCs w:val="24"/>
        </w:rPr>
        <w:t xml:space="preserve"> initial list identifying central actors within the organisations based on their websites and documents, which was </w:t>
      </w:r>
      <w:r w:rsidR="00644196">
        <w:rPr>
          <w:rFonts w:ascii="Times New Roman" w:hAnsi="Times New Roman" w:cs="Times New Roman"/>
          <w:sz w:val="24"/>
          <w:szCs w:val="24"/>
        </w:rPr>
        <w:t>progressively</w:t>
      </w:r>
      <w:r w:rsidRPr="005A3E29">
        <w:rPr>
          <w:rFonts w:ascii="Times New Roman" w:hAnsi="Times New Roman" w:cs="Times New Roman"/>
          <w:sz w:val="24"/>
          <w:szCs w:val="24"/>
        </w:rPr>
        <w:t xml:space="preserve"> narrowed down. The selection was guided by the following attributes of the interviewees, in order to assure diversity amongst participants: 1) seniority level; 2) disciplinary background; 3) demographic characteristics (nationality, age, gender); 4) employment status (current and former employees, </w:t>
      </w:r>
      <w:r w:rsidR="00644196">
        <w:rPr>
          <w:rFonts w:ascii="Times New Roman" w:hAnsi="Times New Roman" w:cs="Times New Roman"/>
          <w:sz w:val="24"/>
          <w:szCs w:val="24"/>
        </w:rPr>
        <w:t>advisors). Later on, the data</w:t>
      </w:r>
      <w:r w:rsidRPr="005A3E29">
        <w:rPr>
          <w:rFonts w:ascii="Times New Roman" w:hAnsi="Times New Roman" w:cs="Times New Roman"/>
          <w:sz w:val="24"/>
          <w:szCs w:val="24"/>
        </w:rPr>
        <w:t xml:space="preserve"> collection also benefitted from ‘snowball sampling’, were some participants put us in touch directly with other key players in their IO or in other organizations. </w:t>
      </w:r>
    </w:p>
    <w:p w14:paraId="7343F037" w14:textId="77777777" w:rsidR="00301FB9" w:rsidRDefault="00301FB9">
      <w:pPr>
        <w:rPr>
          <w:rFonts w:ascii="Times New Roman" w:hAnsi="Times New Roman" w:cs="Times New Roman"/>
          <w:i/>
          <w:iCs/>
          <w:color w:val="44546A" w:themeColor="text2"/>
          <w:sz w:val="24"/>
          <w:szCs w:val="24"/>
        </w:rPr>
      </w:pPr>
      <w:r>
        <w:rPr>
          <w:rFonts w:ascii="Times New Roman" w:hAnsi="Times New Roman" w:cs="Times New Roman"/>
          <w:i/>
          <w:iCs/>
          <w:color w:val="44546A" w:themeColor="text2"/>
          <w:sz w:val="24"/>
          <w:szCs w:val="24"/>
        </w:rPr>
        <w:br w:type="page"/>
      </w:r>
    </w:p>
    <w:p w14:paraId="439D1465" w14:textId="6979732A" w:rsidR="00E107B9" w:rsidRPr="005A3E29" w:rsidRDefault="00E107B9" w:rsidP="00E107B9">
      <w:pPr>
        <w:keepNext/>
        <w:spacing w:after="200" w:line="240" w:lineRule="auto"/>
        <w:rPr>
          <w:rFonts w:ascii="Times New Roman" w:hAnsi="Times New Roman" w:cs="Times New Roman"/>
          <w:i/>
          <w:iCs/>
          <w:color w:val="44546A" w:themeColor="text2"/>
          <w:sz w:val="24"/>
          <w:szCs w:val="24"/>
        </w:rPr>
      </w:pPr>
      <w:r w:rsidRPr="005A3E29">
        <w:rPr>
          <w:rFonts w:ascii="Times New Roman" w:hAnsi="Times New Roman" w:cs="Times New Roman"/>
          <w:i/>
          <w:iCs/>
          <w:color w:val="44546A" w:themeColor="text2"/>
          <w:sz w:val="24"/>
          <w:szCs w:val="24"/>
        </w:rPr>
        <w:lastRenderedPageBreak/>
        <w:t xml:space="preserve">Table </w:t>
      </w:r>
      <w:r w:rsidR="00644196">
        <w:rPr>
          <w:rFonts w:ascii="Times New Roman" w:hAnsi="Times New Roman" w:cs="Times New Roman"/>
          <w:i/>
          <w:iCs/>
          <w:color w:val="44546A" w:themeColor="text2"/>
          <w:sz w:val="24"/>
          <w:szCs w:val="24"/>
        </w:rPr>
        <w:t>2</w:t>
      </w:r>
      <w:r w:rsidRPr="005A3E29">
        <w:rPr>
          <w:rFonts w:ascii="Times New Roman" w:hAnsi="Times New Roman" w:cs="Times New Roman"/>
          <w:i/>
          <w:iCs/>
          <w:color w:val="44546A" w:themeColor="text2"/>
          <w:sz w:val="24"/>
          <w:szCs w:val="24"/>
        </w:rPr>
        <w:t>. Overview of interviewees.</w:t>
      </w:r>
    </w:p>
    <w:tbl>
      <w:tblPr>
        <w:tblStyle w:val="PlainTable2"/>
        <w:tblW w:w="5000" w:type="pct"/>
        <w:tblLook w:val="04A0" w:firstRow="1" w:lastRow="0" w:firstColumn="1" w:lastColumn="0" w:noHBand="0" w:noVBand="1"/>
      </w:tblPr>
      <w:tblGrid>
        <w:gridCol w:w="4513"/>
        <w:gridCol w:w="4513"/>
      </w:tblGrid>
      <w:tr w:rsidR="00E107B9" w:rsidRPr="005A3E29" w14:paraId="205B11B0" w14:textId="77777777" w:rsidTr="00260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2441E0" w14:textId="77777777" w:rsidR="00E107B9" w:rsidRPr="005A3E29" w:rsidRDefault="00E107B9" w:rsidP="00260B64">
            <w:pPr>
              <w:spacing w:line="360" w:lineRule="auto"/>
              <w:jc w:val="both"/>
              <w:rPr>
                <w:rFonts w:ascii="Times New Roman" w:hAnsi="Times New Roman" w:cs="Times New Roman"/>
                <w:b w:val="0"/>
                <w:bCs w:val="0"/>
                <w:sz w:val="24"/>
                <w:szCs w:val="24"/>
              </w:rPr>
            </w:pPr>
          </w:p>
        </w:tc>
        <w:tc>
          <w:tcPr>
            <w:tcW w:w="2500" w:type="pct"/>
          </w:tcPr>
          <w:p w14:paraId="160030C1" w14:textId="77777777" w:rsidR="00E107B9" w:rsidRPr="005A3E29" w:rsidRDefault="00E107B9" w:rsidP="00260B6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A3E29">
              <w:rPr>
                <w:rFonts w:ascii="Times New Roman" w:hAnsi="Times New Roman" w:cs="Times New Roman"/>
                <w:sz w:val="24"/>
                <w:szCs w:val="24"/>
              </w:rPr>
              <w:t>Number of interviewees</w:t>
            </w:r>
          </w:p>
        </w:tc>
      </w:tr>
      <w:tr w:rsidR="00E107B9" w:rsidRPr="005A3E29" w14:paraId="65F0473A" w14:textId="77777777" w:rsidTr="00260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C261E8"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World Bank</w:t>
            </w:r>
          </w:p>
        </w:tc>
        <w:tc>
          <w:tcPr>
            <w:tcW w:w="2500" w:type="pct"/>
          </w:tcPr>
          <w:p w14:paraId="1C32DA60" w14:textId="77777777" w:rsidR="00E107B9" w:rsidRPr="005A3E29" w:rsidRDefault="00E107B9" w:rsidP="00260B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A3E29">
              <w:rPr>
                <w:rFonts w:ascii="Times New Roman" w:hAnsi="Times New Roman" w:cs="Times New Roman"/>
                <w:b/>
                <w:sz w:val="24"/>
                <w:szCs w:val="24"/>
              </w:rPr>
              <w:t>15</w:t>
            </w:r>
          </w:p>
        </w:tc>
      </w:tr>
      <w:tr w:rsidR="00E107B9" w:rsidRPr="005A3E29" w14:paraId="351A4251" w14:textId="77777777" w:rsidTr="00260B64">
        <w:tc>
          <w:tcPr>
            <w:cnfStyle w:val="001000000000" w:firstRow="0" w:lastRow="0" w:firstColumn="1" w:lastColumn="0" w:oddVBand="0" w:evenVBand="0" w:oddHBand="0" w:evenHBand="0" w:firstRowFirstColumn="0" w:firstRowLastColumn="0" w:lastRowFirstColumn="0" w:lastRowLastColumn="0"/>
            <w:tcW w:w="2500" w:type="pct"/>
          </w:tcPr>
          <w:p w14:paraId="4DE9584E"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UNICEF</w:t>
            </w:r>
          </w:p>
        </w:tc>
        <w:tc>
          <w:tcPr>
            <w:tcW w:w="2500" w:type="pct"/>
          </w:tcPr>
          <w:p w14:paraId="0BED992E" w14:textId="77777777" w:rsidR="00E107B9" w:rsidRPr="005A3E29" w:rsidRDefault="00E107B9" w:rsidP="00260B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A3E29">
              <w:rPr>
                <w:rFonts w:ascii="Times New Roman" w:hAnsi="Times New Roman" w:cs="Times New Roman"/>
                <w:b/>
                <w:sz w:val="24"/>
                <w:szCs w:val="24"/>
              </w:rPr>
              <w:t>14</w:t>
            </w:r>
          </w:p>
        </w:tc>
      </w:tr>
      <w:tr w:rsidR="00E107B9" w:rsidRPr="005A3E29" w14:paraId="739DF6B7" w14:textId="77777777" w:rsidTr="00260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6EF7A4" w14:textId="77777777" w:rsidR="00E107B9" w:rsidRPr="005A3E29" w:rsidRDefault="00E107B9" w:rsidP="00260B64">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OPHI/UNDP</w:t>
            </w:r>
          </w:p>
        </w:tc>
        <w:tc>
          <w:tcPr>
            <w:tcW w:w="2500" w:type="pct"/>
          </w:tcPr>
          <w:p w14:paraId="7B1F1CBA" w14:textId="77777777" w:rsidR="00E107B9" w:rsidRPr="005A3E29" w:rsidRDefault="00E107B9" w:rsidP="00260B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w:t>
            </w:r>
          </w:p>
        </w:tc>
      </w:tr>
      <w:tr w:rsidR="00E107B9" w:rsidRPr="005A3E29" w14:paraId="04CFAB4A" w14:textId="77777777" w:rsidTr="00260B64">
        <w:tc>
          <w:tcPr>
            <w:cnfStyle w:val="001000000000" w:firstRow="0" w:lastRow="0" w:firstColumn="1" w:lastColumn="0" w:oddVBand="0" w:evenVBand="0" w:oddHBand="0" w:evenHBand="0" w:firstRowFirstColumn="0" w:firstRowLastColumn="0" w:lastRowFirstColumn="0" w:lastRowLastColumn="0"/>
            <w:tcW w:w="2500" w:type="pct"/>
          </w:tcPr>
          <w:p w14:paraId="0E0EC118"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Collaborators</w:t>
            </w:r>
          </w:p>
          <w:p w14:paraId="67127DDF"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 xml:space="preserve">Academics/Consultants </w:t>
            </w:r>
          </w:p>
          <w:p w14:paraId="4B73D124"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Other UN agencies</w:t>
            </w:r>
          </w:p>
          <w:p w14:paraId="352B38F5"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Government officials</w:t>
            </w:r>
          </w:p>
        </w:tc>
        <w:tc>
          <w:tcPr>
            <w:tcW w:w="2500" w:type="pct"/>
          </w:tcPr>
          <w:p w14:paraId="5634D18A" w14:textId="77777777" w:rsidR="00E107B9" w:rsidRPr="005A3E29" w:rsidRDefault="00E107B9" w:rsidP="00260B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A3E29">
              <w:rPr>
                <w:rFonts w:ascii="Times New Roman" w:hAnsi="Times New Roman" w:cs="Times New Roman"/>
                <w:b/>
                <w:sz w:val="24"/>
                <w:szCs w:val="24"/>
              </w:rPr>
              <w:t>1</w:t>
            </w:r>
            <w:r>
              <w:rPr>
                <w:rFonts w:ascii="Times New Roman" w:hAnsi="Times New Roman" w:cs="Times New Roman"/>
                <w:b/>
                <w:sz w:val="24"/>
                <w:szCs w:val="24"/>
              </w:rPr>
              <w:t>0</w:t>
            </w:r>
          </w:p>
          <w:p w14:paraId="4357805C" w14:textId="77777777" w:rsidR="00E107B9" w:rsidRPr="005A3E29" w:rsidRDefault="00E107B9" w:rsidP="00260B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3E29">
              <w:rPr>
                <w:rFonts w:ascii="Times New Roman" w:hAnsi="Times New Roman" w:cs="Times New Roman"/>
                <w:sz w:val="24"/>
                <w:szCs w:val="24"/>
              </w:rPr>
              <w:t>(4)</w:t>
            </w:r>
          </w:p>
          <w:p w14:paraId="0EE4327A" w14:textId="77777777" w:rsidR="00E107B9" w:rsidRPr="005A3E29" w:rsidRDefault="00E107B9" w:rsidP="00260B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3E29">
              <w:rPr>
                <w:rFonts w:ascii="Times New Roman" w:hAnsi="Times New Roman" w:cs="Times New Roman"/>
                <w:sz w:val="24"/>
                <w:szCs w:val="24"/>
              </w:rPr>
              <w:t>(</w:t>
            </w:r>
            <w:r>
              <w:rPr>
                <w:rFonts w:ascii="Times New Roman" w:hAnsi="Times New Roman" w:cs="Times New Roman"/>
                <w:sz w:val="24"/>
                <w:szCs w:val="24"/>
              </w:rPr>
              <w:t>2</w:t>
            </w:r>
            <w:r w:rsidRPr="005A3E29">
              <w:rPr>
                <w:rFonts w:ascii="Times New Roman" w:hAnsi="Times New Roman" w:cs="Times New Roman"/>
                <w:sz w:val="24"/>
                <w:szCs w:val="24"/>
              </w:rPr>
              <w:t>)</w:t>
            </w:r>
          </w:p>
          <w:p w14:paraId="637118C2" w14:textId="77777777" w:rsidR="00E107B9" w:rsidRPr="005A3E29" w:rsidRDefault="00E107B9" w:rsidP="00260B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3E29">
              <w:rPr>
                <w:rFonts w:ascii="Times New Roman" w:hAnsi="Times New Roman" w:cs="Times New Roman"/>
                <w:sz w:val="24"/>
                <w:szCs w:val="24"/>
              </w:rPr>
              <w:t>(4)</w:t>
            </w:r>
          </w:p>
        </w:tc>
      </w:tr>
      <w:tr w:rsidR="00E107B9" w:rsidRPr="005A3E29" w14:paraId="1416DC0B" w14:textId="77777777" w:rsidTr="00260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EADD12" w14:textId="77777777" w:rsidR="00E107B9" w:rsidRPr="005A3E29" w:rsidRDefault="00E107B9" w:rsidP="00260B64">
            <w:pPr>
              <w:spacing w:line="360" w:lineRule="auto"/>
              <w:jc w:val="both"/>
              <w:rPr>
                <w:rFonts w:ascii="Times New Roman" w:hAnsi="Times New Roman" w:cs="Times New Roman"/>
                <w:bCs w:val="0"/>
                <w:sz w:val="24"/>
                <w:szCs w:val="24"/>
              </w:rPr>
            </w:pPr>
            <w:r w:rsidRPr="005A3E29">
              <w:rPr>
                <w:rFonts w:ascii="Times New Roman" w:hAnsi="Times New Roman" w:cs="Times New Roman"/>
                <w:sz w:val="24"/>
                <w:szCs w:val="24"/>
              </w:rPr>
              <w:t>Total</w:t>
            </w:r>
          </w:p>
        </w:tc>
        <w:tc>
          <w:tcPr>
            <w:tcW w:w="2500" w:type="pct"/>
          </w:tcPr>
          <w:p w14:paraId="262FD54E" w14:textId="77777777" w:rsidR="00E107B9" w:rsidRPr="005A3E29" w:rsidRDefault="00E107B9" w:rsidP="00260B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A3E29">
              <w:rPr>
                <w:rFonts w:ascii="Times New Roman" w:hAnsi="Times New Roman" w:cs="Times New Roman"/>
                <w:b/>
                <w:sz w:val="24"/>
                <w:szCs w:val="24"/>
              </w:rPr>
              <w:t>4</w:t>
            </w:r>
            <w:r>
              <w:rPr>
                <w:rFonts w:ascii="Times New Roman" w:hAnsi="Times New Roman" w:cs="Times New Roman"/>
                <w:b/>
                <w:sz w:val="24"/>
                <w:szCs w:val="24"/>
              </w:rPr>
              <w:t>6</w:t>
            </w:r>
          </w:p>
        </w:tc>
      </w:tr>
    </w:tbl>
    <w:p w14:paraId="4C044925" w14:textId="77777777" w:rsidR="00E107B9" w:rsidRDefault="00E107B9" w:rsidP="00E107B9">
      <w:pPr>
        <w:spacing w:line="360" w:lineRule="auto"/>
        <w:ind w:firstLine="360"/>
        <w:jc w:val="both"/>
        <w:rPr>
          <w:rFonts w:ascii="Times New Roman" w:hAnsi="Times New Roman" w:cs="Times New Roman"/>
          <w:sz w:val="24"/>
          <w:szCs w:val="24"/>
        </w:rPr>
      </w:pPr>
    </w:p>
    <w:p w14:paraId="7A3AB284" w14:textId="0404678D" w:rsidR="00E107B9" w:rsidRPr="005A3E29" w:rsidRDefault="00E107B9" w:rsidP="00E107B9">
      <w:pPr>
        <w:spacing w:line="360" w:lineRule="auto"/>
        <w:jc w:val="both"/>
        <w:rPr>
          <w:rFonts w:ascii="Times New Roman" w:hAnsi="Times New Roman" w:cs="Times New Roman"/>
          <w:sz w:val="24"/>
          <w:szCs w:val="24"/>
        </w:rPr>
      </w:pPr>
      <w:r w:rsidRPr="005A3E29">
        <w:rPr>
          <w:rFonts w:ascii="Times New Roman" w:hAnsi="Times New Roman" w:cs="Times New Roman"/>
          <w:sz w:val="24"/>
          <w:szCs w:val="24"/>
        </w:rPr>
        <w:t>The interviews were digitally recorded</w:t>
      </w:r>
      <w:r>
        <w:rPr>
          <w:rFonts w:ascii="Times New Roman" w:hAnsi="Times New Roman" w:cs="Times New Roman"/>
          <w:sz w:val="24"/>
          <w:szCs w:val="24"/>
        </w:rPr>
        <w:t>, transcribed, and</w:t>
      </w:r>
      <w:r w:rsidRPr="005A3E29">
        <w:rPr>
          <w:rFonts w:ascii="Times New Roman" w:hAnsi="Times New Roman" w:cs="Times New Roman"/>
          <w:sz w:val="24"/>
          <w:szCs w:val="24"/>
        </w:rPr>
        <w:t xml:space="preserve"> coded in NVivo. The central analytical approach was </w:t>
      </w:r>
      <w:r>
        <w:rPr>
          <w:rFonts w:ascii="Times New Roman" w:hAnsi="Times New Roman" w:cs="Times New Roman"/>
          <w:sz w:val="24"/>
          <w:szCs w:val="24"/>
        </w:rPr>
        <w:t>inspired by the</w:t>
      </w:r>
      <w:r w:rsidRPr="005A3E29">
        <w:rPr>
          <w:rFonts w:ascii="Times New Roman" w:hAnsi="Times New Roman" w:cs="Times New Roman"/>
          <w:sz w:val="24"/>
          <w:szCs w:val="24"/>
        </w:rPr>
        <w:t xml:space="preserve"> grounded theory, </w:t>
      </w:r>
      <w:r>
        <w:rPr>
          <w:rFonts w:ascii="Times New Roman" w:hAnsi="Times New Roman" w:cs="Times New Roman"/>
          <w:sz w:val="24"/>
          <w:szCs w:val="24"/>
        </w:rPr>
        <w:t>entailing</w:t>
      </w:r>
      <w:r w:rsidRPr="005A3E29">
        <w:rPr>
          <w:rFonts w:ascii="Times New Roman" w:hAnsi="Times New Roman" w:cs="Times New Roman"/>
          <w:sz w:val="24"/>
          <w:szCs w:val="24"/>
        </w:rPr>
        <w:t xml:space="preserve"> multiple rounds coding (including descriptive, focused, and theoretical coding). The first round of coding entailed the creation of descriptive codes which were then contextualised in the theoretical debates in the following rounds of coding by introducing the key concepts (such as</w:t>
      </w:r>
      <w:r>
        <w:rPr>
          <w:rFonts w:ascii="Times New Roman" w:hAnsi="Times New Roman" w:cs="Times New Roman"/>
          <w:sz w:val="24"/>
          <w:szCs w:val="24"/>
        </w:rPr>
        <w:t xml:space="preserve"> values, market, and controversy</w:t>
      </w:r>
      <w:r w:rsidRPr="005A3E29">
        <w:rPr>
          <w:rFonts w:ascii="Times New Roman" w:hAnsi="Times New Roman" w:cs="Times New Roman"/>
          <w:sz w:val="24"/>
          <w:szCs w:val="24"/>
        </w:rPr>
        <w:t xml:space="preserve">). </w:t>
      </w:r>
      <w:r>
        <w:rPr>
          <w:rFonts w:ascii="Times New Roman" w:hAnsi="Times New Roman" w:cs="Times New Roman"/>
          <w:sz w:val="24"/>
          <w:szCs w:val="24"/>
        </w:rPr>
        <w:t xml:space="preserve">Resulting from this iterative process was a coding scheme with a number of overarching themes, such as Knowledge Controversy, Collaboration and Competition between Organisations, Organisational strategies, Barriers and Facilitators of Indicator Production, Changes over time. Each of these themes entailed a number of sub-codes with more detailed and situated themes. </w:t>
      </w:r>
      <w:r w:rsidRPr="005A3E29">
        <w:rPr>
          <w:rFonts w:ascii="Times New Roman" w:hAnsi="Times New Roman" w:cs="Times New Roman"/>
          <w:sz w:val="24"/>
          <w:szCs w:val="24"/>
        </w:rPr>
        <w:t xml:space="preserve">This process allowed us to develop a sharper theoretical focus over time and led to the focus on the organizational consequences of the KC and practices of valuation as aggregate dimensions. </w:t>
      </w:r>
    </w:p>
    <w:p w14:paraId="38DF78E6" w14:textId="77777777" w:rsidR="00E107B9" w:rsidRPr="00E107B9" w:rsidRDefault="00E107B9" w:rsidP="00E107B9">
      <w:pPr>
        <w:pStyle w:val="ListParagraph"/>
        <w:keepNext/>
        <w:keepLines/>
        <w:numPr>
          <w:ilvl w:val="0"/>
          <w:numId w:val="2"/>
        </w:numPr>
        <w:spacing w:before="240" w:after="240"/>
        <w:outlineLvl w:val="0"/>
        <w:rPr>
          <w:rFonts w:ascii="Times New Roman" w:eastAsiaTheme="majorEastAsia" w:hAnsi="Times New Roman" w:cs="Times New Roman"/>
          <w:b/>
          <w:sz w:val="24"/>
          <w:szCs w:val="24"/>
        </w:rPr>
      </w:pPr>
      <w:r w:rsidRPr="00E107B9">
        <w:rPr>
          <w:rFonts w:ascii="Times New Roman" w:eastAsiaTheme="majorEastAsia" w:hAnsi="Times New Roman" w:cs="Times New Roman"/>
          <w:b/>
          <w:sz w:val="24"/>
          <w:szCs w:val="24"/>
        </w:rPr>
        <w:t>Findings</w:t>
      </w:r>
    </w:p>
    <w:p w14:paraId="702DEEA3" w14:textId="22B470B6" w:rsidR="00E107B9" w:rsidRPr="00203241" w:rsidRDefault="00E107B9" w:rsidP="00E107B9">
      <w:pPr>
        <w:keepNext/>
        <w:keepLines/>
        <w:numPr>
          <w:ilvl w:val="1"/>
          <w:numId w:val="2"/>
        </w:numPr>
        <w:spacing w:before="240" w:after="240"/>
        <w:outlineLvl w:val="0"/>
        <w:rPr>
          <w:rFonts w:ascii="Times New Roman" w:eastAsiaTheme="majorEastAsia" w:hAnsi="Times New Roman" w:cs="Times New Roman"/>
          <w:b/>
          <w:sz w:val="24"/>
          <w:szCs w:val="24"/>
        </w:rPr>
      </w:pPr>
      <w:r w:rsidRPr="00203241">
        <w:rPr>
          <w:rFonts w:ascii="Times New Roman" w:eastAsiaTheme="majorEastAsia" w:hAnsi="Times New Roman" w:cs="Times New Roman"/>
          <w:b/>
          <w:sz w:val="24"/>
          <w:szCs w:val="24"/>
        </w:rPr>
        <w:t>The historical knowledge controversy as a force structuring competition</w:t>
      </w:r>
      <w:r w:rsidR="00800FBB">
        <w:rPr>
          <w:rFonts w:ascii="Times New Roman" w:eastAsiaTheme="majorEastAsia" w:hAnsi="Times New Roman" w:cs="Times New Roman"/>
          <w:b/>
          <w:sz w:val="24"/>
          <w:szCs w:val="24"/>
        </w:rPr>
        <w:t xml:space="preserve"> among IOs</w:t>
      </w:r>
    </w:p>
    <w:p w14:paraId="2D28D050" w14:textId="77777777" w:rsidR="00E107B9" w:rsidRPr="00203241" w:rsidRDefault="00E107B9" w:rsidP="00E107B9">
      <w:pPr>
        <w:spacing w:after="240" w:line="360" w:lineRule="auto"/>
        <w:jc w:val="both"/>
        <w:rPr>
          <w:rFonts w:ascii="Times New Roman" w:hAnsi="Times New Roman" w:cs="Times New Roman"/>
          <w:sz w:val="24"/>
          <w:szCs w:val="24"/>
        </w:rPr>
      </w:pPr>
      <w:r w:rsidRPr="00C24224">
        <w:rPr>
          <w:rFonts w:ascii="Times New Roman" w:hAnsi="Times New Roman" w:cs="Times New Roman"/>
          <w:sz w:val="24"/>
          <w:szCs w:val="24"/>
        </w:rPr>
        <w:t xml:space="preserve">In what follows, we show how the malleability and indeterminate boundaries of the KC came to shape </w:t>
      </w:r>
      <w:r>
        <w:rPr>
          <w:rFonts w:ascii="Times New Roman" w:hAnsi="Times New Roman" w:cs="Times New Roman"/>
          <w:sz w:val="24"/>
          <w:szCs w:val="24"/>
        </w:rPr>
        <w:t>the global poverty measurement</w:t>
      </w:r>
      <w:r w:rsidRPr="00C24224">
        <w:rPr>
          <w:rFonts w:ascii="Times New Roman" w:hAnsi="Times New Roman" w:cs="Times New Roman"/>
          <w:sz w:val="24"/>
          <w:szCs w:val="24"/>
        </w:rPr>
        <w:t xml:space="preserve"> space </w:t>
      </w:r>
      <w:r>
        <w:rPr>
          <w:rFonts w:ascii="Times New Roman" w:hAnsi="Times New Roman" w:cs="Times New Roman"/>
          <w:sz w:val="24"/>
          <w:szCs w:val="24"/>
        </w:rPr>
        <w:t>b</w:t>
      </w:r>
      <w:r w:rsidRPr="00C24224">
        <w:rPr>
          <w:rFonts w:ascii="Times New Roman" w:hAnsi="Times New Roman" w:cs="Times New Roman"/>
          <w:sz w:val="24"/>
          <w:szCs w:val="24"/>
        </w:rPr>
        <w:t xml:space="preserve">y heterogenising a field driven predominantly by the processes of </w:t>
      </w:r>
      <w:r>
        <w:rPr>
          <w:rFonts w:ascii="Times New Roman" w:hAnsi="Times New Roman" w:cs="Times New Roman"/>
          <w:sz w:val="24"/>
          <w:szCs w:val="24"/>
        </w:rPr>
        <w:t>quantification</w:t>
      </w:r>
      <w:r w:rsidRPr="00C24224">
        <w:rPr>
          <w:rFonts w:ascii="Times New Roman" w:hAnsi="Times New Roman" w:cs="Times New Roman"/>
          <w:sz w:val="24"/>
          <w:szCs w:val="24"/>
        </w:rPr>
        <w:t xml:space="preserve"> and standardisation. The</w:t>
      </w:r>
      <w:r w:rsidRPr="00203241">
        <w:rPr>
          <w:rFonts w:ascii="Times New Roman" w:hAnsi="Times New Roman" w:cs="Times New Roman"/>
          <w:sz w:val="24"/>
          <w:szCs w:val="24"/>
        </w:rPr>
        <w:t xml:space="preserve"> participants unanimously viewed the disagreements over poverty measurement as the key characteristics of their field. As summarised by </w:t>
      </w:r>
      <w:r>
        <w:rPr>
          <w:rFonts w:ascii="Times New Roman" w:hAnsi="Times New Roman" w:cs="Times New Roman"/>
          <w:sz w:val="24"/>
          <w:szCs w:val="24"/>
        </w:rPr>
        <w:t xml:space="preserve">one of the interviewees </w:t>
      </w:r>
      <w:r w:rsidRPr="00203241">
        <w:rPr>
          <w:rFonts w:ascii="Times New Roman" w:hAnsi="Times New Roman" w:cs="Times New Roman"/>
          <w:sz w:val="24"/>
          <w:szCs w:val="24"/>
        </w:rPr>
        <w:t>when asked about the consensus over measurement: “I guess we all agree that we care about poverty. And this is as far as the consensus goes”</w:t>
      </w:r>
      <w:r>
        <w:rPr>
          <w:rFonts w:ascii="Times New Roman" w:hAnsi="Times New Roman" w:cs="Times New Roman"/>
          <w:sz w:val="24"/>
          <w:szCs w:val="24"/>
        </w:rPr>
        <w:t xml:space="preserve"> </w:t>
      </w:r>
      <w:r w:rsidRPr="00203241">
        <w:rPr>
          <w:rFonts w:ascii="Times New Roman" w:hAnsi="Times New Roman" w:cs="Times New Roman"/>
          <w:sz w:val="24"/>
          <w:szCs w:val="24"/>
        </w:rPr>
        <w:lastRenderedPageBreak/>
        <w:t xml:space="preserve">(WorldBank3). Crucially, the </w:t>
      </w:r>
      <w:r>
        <w:rPr>
          <w:rFonts w:ascii="Times New Roman" w:hAnsi="Times New Roman" w:cs="Times New Roman"/>
          <w:sz w:val="24"/>
          <w:szCs w:val="24"/>
        </w:rPr>
        <w:t>KC</w:t>
      </w:r>
      <w:r w:rsidRPr="00203241">
        <w:rPr>
          <w:rFonts w:ascii="Times New Roman" w:hAnsi="Times New Roman" w:cs="Times New Roman"/>
          <w:sz w:val="24"/>
          <w:szCs w:val="24"/>
        </w:rPr>
        <w:t xml:space="preserve"> was not solely an ‘ontological disturbance’ (Whatmore, 2009)</w:t>
      </w:r>
      <w:r>
        <w:rPr>
          <w:rFonts w:ascii="Times New Roman" w:hAnsi="Times New Roman" w:cs="Times New Roman"/>
          <w:sz w:val="24"/>
          <w:szCs w:val="24"/>
        </w:rPr>
        <w:t xml:space="preserve"> as </w:t>
      </w:r>
      <w:r w:rsidRPr="00203241">
        <w:rPr>
          <w:rFonts w:ascii="Times New Roman" w:hAnsi="Times New Roman" w:cs="Times New Roman"/>
          <w:sz w:val="24"/>
          <w:szCs w:val="24"/>
        </w:rPr>
        <w:t xml:space="preserve">the interviewees discussed the </w:t>
      </w:r>
      <w:r>
        <w:rPr>
          <w:rFonts w:ascii="Times New Roman" w:hAnsi="Times New Roman" w:cs="Times New Roman"/>
          <w:sz w:val="24"/>
          <w:szCs w:val="24"/>
        </w:rPr>
        <w:t>KC</w:t>
      </w:r>
      <w:r w:rsidRPr="00203241">
        <w:rPr>
          <w:rFonts w:ascii="Times New Roman" w:hAnsi="Times New Roman" w:cs="Times New Roman"/>
          <w:sz w:val="24"/>
          <w:szCs w:val="24"/>
        </w:rPr>
        <w:t xml:space="preserve"> as a consistent and enduring element of this space, </w:t>
      </w:r>
      <w:r>
        <w:rPr>
          <w:rFonts w:ascii="Times New Roman" w:hAnsi="Times New Roman" w:cs="Times New Roman"/>
          <w:sz w:val="24"/>
          <w:szCs w:val="24"/>
        </w:rPr>
        <w:t xml:space="preserve">which </w:t>
      </w:r>
      <w:r w:rsidRPr="00203241">
        <w:rPr>
          <w:rFonts w:ascii="Times New Roman" w:hAnsi="Times New Roman" w:cs="Times New Roman"/>
          <w:sz w:val="24"/>
          <w:szCs w:val="24"/>
        </w:rPr>
        <w:t>guid</w:t>
      </w:r>
      <w:r>
        <w:rPr>
          <w:rFonts w:ascii="Times New Roman" w:hAnsi="Times New Roman" w:cs="Times New Roman"/>
          <w:sz w:val="24"/>
          <w:szCs w:val="24"/>
        </w:rPr>
        <w:t>ed</w:t>
      </w:r>
      <w:r w:rsidRPr="00203241">
        <w:rPr>
          <w:rFonts w:ascii="Times New Roman" w:hAnsi="Times New Roman" w:cs="Times New Roman"/>
          <w:sz w:val="24"/>
          <w:szCs w:val="24"/>
        </w:rPr>
        <w:t xml:space="preserve"> the </w:t>
      </w:r>
      <w:r>
        <w:rPr>
          <w:rFonts w:ascii="Times New Roman" w:hAnsi="Times New Roman" w:cs="Times New Roman"/>
          <w:sz w:val="24"/>
          <w:szCs w:val="24"/>
        </w:rPr>
        <w:t>IOs’</w:t>
      </w:r>
      <w:r w:rsidRPr="00203241">
        <w:rPr>
          <w:rFonts w:ascii="Times New Roman" w:hAnsi="Times New Roman" w:cs="Times New Roman"/>
          <w:sz w:val="24"/>
          <w:szCs w:val="24"/>
        </w:rPr>
        <w:t xml:space="preserve"> strategies to poverty measurement </w:t>
      </w:r>
      <w:r>
        <w:rPr>
          <w:rFonts w:ascii="Times New Roman" w:hAnsi="Times New Roman" w:cs="Times New Roman"/>
          <w:sz w:val="24"/>
          <w:szCs w:val="24"/>
        </w:rPr>
        <w:t>and</w:t>
      </w:r>
      <w:r w:rsidRPr="00203241">
        <w:rPr>
          <w:rFonts w:ascii="Times New Roman" w:hAnsi="Times New Roman" w:cs="Times New Roman"/>
          <w:sz w:val="24"/>
          <w:szCs w:val="24"/>
        </w:rPr>
        <w:t xml:space="preserve"> the relationships among competing ideologies of poverty eradication. </w:t>
      </w:r>
    </w:p>
    <w:p w14:paraId="11CC5286" w14:textId="30FEB4E5" w:rsidR="00E107B9" w:rsidRPr="00203241" w:rsidRDefault="00E107B9" w:rsidP="00E107B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203241">
        <w:rPr>
          <w:rFonts w:ascii="Times New Roman" w:hAnsi="Times New Roman" w:cs="Times New Roman"/>
          <w:sz w:val="24"/>
          <w:szCs w:val="24"/>
        </w:rPr>
        <w:t xml:space="preserve">he malleability of the controversy and its constant shifts in focus have led to the emergence of new ‘objects’ of controversy, such as new indicators. The interviewees discussed the change in the locus of the controversy from the debates over multidimensional versus monetary measurement to ones regarding the qualities </w:t>
      </w:r>
      <w:r>
        <w:rPr>
          <w:rFonts w:ascii="Times New Roman" w:hAnsi="Times New Roman" w:cs="Times New Roman"/>
          <w:sz w:val="24"/>
          <w:szCs w:val="24"/>
        </w:rPr>
        <w:t>of specific multidimensional measures</w:t>
      </w:r>
      <w:r w:rsidRPr="00203241">
        <w:rPr>
          <w:rFonts w:ascii="Times New Roman" w:hAnsi="Times New Roman" w:cs="Times New Roman"/>
          <w:sz w:val="24"/>
          <w:szCs w:val="24"/>
        </w:rPr>
        <w:t xml:space="preserve">. For example, the interviewees named issues such as the approaches to multidimensional poverty measurement design (e.g. type and measurement of specific dimensions), data collection level, or the question of (dis)aggregation of results as igniting debates and struggles. The controversy was perceived </w:t>
      </w:r>
      <w:r>
        <w:rPr>
          <w:rFonts w:ascii="Times New Roman" w:hAnsi="Times New Roman" w:cs="Times New Roman"/>
          <w:sz w:val="24"/>
          <w:szCs w:val="24"/>
        </w:rPr>
        <w:t>as</w:t>
      </w:r>
      <w:r w:rsidRPr="00203241">
        <w:rPr>
          <w:rFonts w:ascii="Times New Roman" w:hAnsi="Times New Roman" w:cs="Times New Roman"/>
          <w:sz w:val="24"/>
          <w:szCs w:val="24"/>
        </w:rPr>
        <w:t xml:space="preserve"> enduring and not necessarily ‘solvable’: </w:t>
      </w:r>
    </w:p>
    <w:p w14:paraId="6686A0C4" w14:textId="77777777" w:rsidR="00E107B9" w:rsidRPr="00203241" w:rsidRDefault="00E107B9" w:rsidP="00E107B9">
      <w:pPr>
        <w:ind w:left="720"/>
        <w:jc w:val="both"/>
        <w:rPr>
          <w:rFonts w:ascii="Times New Roman" w:hAnsi="Times New Roman" w:cs="Times New Roman"/>
          <w:sz w:val="24"/>
          <w:szCs w:val="24"/>
        </w:rPr>
      </w:pPr>
      <w:r w:rsidRPr="00203241">
        <w:rPr>
          <w:rFonts w:ascii="Times New Roman" w:hAnsi="Times New Roman" w:cs="Times New Roman"/>
          <w:sz w:val="24"/>
          <w:szCs w:val="24"/>
        </w:rPr>
        <w:t>[More research] might not help with the range of options. […] Everybody</w:t>
      </w:r>
      <w:r>
        <w:rPr>
          <w:rFonts w:ascii="Times New Roman" w:hAnsi="Times New Roman" w:cs="Times New Roman"/>
          <w:sz w:val="24"/>
          <w:szCs w:val="24"/>
        </w:rPr>
        <w:t>’</w:t>
      </w:r>
      <w:r w:rsidRPr="00203241">
        <w:rPr>
          <w:rFonts w:ascii="Times New Roman" w:hAnsi="Times New Roman" w:cs="Times New Roman"/>
          <w:sz w:val="24"/>
          <w:szCs w:val="24"/>
        </w:rPr>
        <w:t>s got their own vision of what a good measure is. If that vision is a multidimensional measure, then they</w:t>
      </w:r>
      <w:r>
        <w:rPr>
          <w:rFonts w:ascii="Times New Roman" w:hAnsi="Times New Roman" w:cs="Times New Roman"/>
          <w:sz w:val="24"/>
          <w:szCs w:val="24"/>
        </w:rPr>
        <w:t>’</w:t>
      </w:r>
      <w:r w:rsidRPr="00203241">
        <w:rPr>
          <w:rFonts w:ascii="Times New Roman" w:hAnsi="Times New Roman" w:cs="Times New Roman"/>
          <w:sz w:val="24"/>
          <w:szCs w:val="24"/>
        </w:rPr>
        <w:t>ll sort of find evidence as to how it's worked. And if there is one tha</w:t>
      </w:r>
      <w:r>
        <w:rPr>
          <w:rFonts w:ascii="Times New Roman" w:hAnsi="Times New Roman" w:cs="Times New Roman"/>
          <w:sz w:val="24"/>
          <w:szCs w:val="24"/>
        </w:rPr>
        <w:t>t’s</w:t>
      </w:r>
      <w:r w:rsidRPr="00203241">
        <w:rPr>
          <w:rFonts w:ascii="Times New Roman" w:hAnsi="Times New Roman" w:cs="Times New Roman"/>
          <w:sz w:val="24"/>
          <w:szCs w:val="24"/>
        </w:rPr>
        <w:t xml:space="preserve"> more of an income-based one, then they'll draw to why multidimensional measures don't work. I think it</w:t>
      </w:r>
      <w:r>
        <w:rPr>
          <w:rFonts w:ascii="Times New Roman" w:hAnsi="Times New Roman" w:cs="Times New Roman"/>
          <w:sz w:val="24"/>
          <w:szCs w:val="24"/>
        </w:rPr>
        <w:t>’</w:t>
      </w:r>
      <w:r w:rsidRPr="00203241">
        <w:rPr>
          <w:rFonts w:ascii="Times New Roman" w:hAnsi="Times New Roman" w:cs="Times New Roman"/>
          <w:sz w:val="24"/>
          <w:szCs w:val="24"/>
        </w:rPr>
        <w:t>ll be interesting to see the mix. […] There's no one winner unfortunately (UNICEF5).</w:t>
      </w:r>
    </w:p>
    <w:p w14:paraId="55D260FC" w14:textId="6780A76C"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Th</w:t>
      </w:r>
      <w:r>
        <w:rPr>
          <w:rFonts w:ascii="Times New Roman" w:hAnsi="Times New Roman" w:cs="Times New Roman"/>
          <w:sz w:val="24"/>
          <w:szCs w:val="24"/>
        </w:rPr>
        <w:t xml:space="preserve">is shift contributed to opening up </w:t>
      </w:r>
      <w:r w:rsidRPr="00203241">
        <w:rPr>
          <w:rFonts w:ascii="Times New Roman" w:hAnsi="Times New Roman" w:cs="Times New Roman"/>
          <w:sz w:val="24"/>
          <w:szCs w:val="24"/>
        </w:rPr>
        <w:t xml:space="preserve">new venues for the IOs’ activities and </w:t>
      </w:r>
      <w:r w:rsidR="00800FBB">
        <w:rPr>
          <w:rFonts w:ascii="Times New Roman" w:hAnsi="Times New Roman" w:cs="Times New Roman"/>
          <w:sz w:val="24"/>
          <w:szCs w:val="24"/>
        </w:rPr>
        <w:t>new publics in the country</w:t>
      </w:r>
      <w:r w:rsidRPr="00203241">
        <w:rPr>
          <w:rFonts w:ascii="Times New Roman" w:hAnsi="Times New Roman" w:cs="Times New Roman"/>
          <w:sz w:val="24"/>
          <w:szCs w:val="24"/>
        </w:rPr>
        <w:t xml:space="preserve"> governments that were employing these measures. </w:t>
      </w:r>
      <w:r>
        <w:rPr>
          <w:rFonts w:ascii="Times New Roman" w:hAnsi="Times New Roman" w:cs="Times New Roman"/>
          <w:sz w:val="24"/>
          <w:szCs w:val="24"/>
        </w:rPr>
        <w:t>At the same time</w:t>
      </w:r>
      <w:r w:rsidRPr="00203241">
        <w:rPr>
          <w:rFonts w:ascii="Times New Roman" w:hAnsi="Times New Roman" w:cs="Times New Roman"/>
          <w:sz w:val="24"/>
          <w:szCs w:val="24"/>
        </w:rPr>
        <w:t xml:space="preserve">, the organisations had to assure their measurement strategies </w:t>
      </w:r>
      <w:r>
        <w:rPr>
          <w:rFonts w:ascii="Times New Roman" w:hAnsi="Times New Roman" w:cs="Times New Roman"/>
          <w:sz w:val="24"/>
          <w:szCs w:val="24"/>
        </w:rPr>
        <w:t>were</w:t>
      </w:r>
      <w:r w:rsidRPr="00203241">
        <w:rPr>
          <w:rFonts w:ascii="Times New Roman" w:hAnsi="Times New Roman" w:cs="Times New Roman"/>
          <w:sz w:val="24"/>
          <w:szCs w:val="24"/>
        </w:rPr>
        <w:t xml:space="preserve"> sufficiently aligned with </w:t>
      </w:r>
      <w:r w:rsidR="00800FBB">
        <w:rPr>
          <w:rFonts w:ascii="Times New Roman" w:hAnsi="Times New Roman" w:cs="Times New Roman"/>
          <w:sz w:val="24"/>
          <w:szCs w:val="24"/>
        </w:rPr>
        <w:t xml:space="preserve">the </w:t>
      </w:r>
      <w:r w:rsidRPr="00203241">
        <w:rPr>
          <w:rFonts w:ascii="Times New Roman" w:hAnsi="Times New Roman" w:cs="Times New Roman"/>
          <w:sz w:val="24"/>
          <w:szCs w:val="24"/>
        </w:rPr>
        <w:t>widely accepted methodological guidelines. For example:</w:t>
      </w:r>
    </w:p>
    <w:p w14:paraId="02DF7EF7"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 xml:space="preserve">I don’t see us moving towards: ‘Oh, let’s all have one measure’ beyond the SDGs which we have all signed up for. What we have been pushing is: ‘Let’s all agree on what constitutes the right technical guidance’, understanding that technical guidance can be used to construct a child measure or it can be used to construct something else. That’s fine. What we shouldn’t be doing is say ‘this is the technically correct thing’. […] So, your starting point is the same but then you may end up in different places because of your institutional mandates </w:t>
      </w:r>
      <w:r w:rsidRPr="00751C67">
        <w:rPr>
          <w:rFonts w:ascii="Times New Roman" w:hAnsi="Times New Roman" w:cs="Times New Roman"/>
          <w:sz w:val="24"/>
          <w:szCs w:val="24"/>
        </w:rPr>
        <w:t>(WorldBank6</w:t>
      </w:r>
      <w:r w:rsidRPr="00203241">
        <w:rPr>
          <w:rFonts w:ascii="Times New Roman" w:hAnsi="Times New Roman" w:cs="Times New Roman"/>
          <w:sz w:val="24"/>
          <w:szCs w:val="24"/>
        </w:rPr>
        <w:t>).</w:t>
      </w:r>
    </w:p>
    <w:p w14:paraId="53166DEC"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Times New Roman" w:hAnsi="Times New Roman" w:cs="Times New Roman"/>
          <w:sz w:val="24"/>
          <w:szCs w:val="24"/>
        </w:rPr>
      </w:pPr>
    </w:p>
    <w:p w14:paraId="1E83C650" w14:textId="4BC443BF"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shifts in the debates were partly enabled by the blurred boundaries of the controversy</w:t>
      </w:r>
      <w:r w:rsidRPr="0020324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03241">
        <w:rPr>
          <w:rFonts w:ascii="Times New Roman" w:hAnsi="Times New Roman" w:cs="Times New Roman"/>
          <w:sz w:val="24"/>
          <w:szCs w:val="24"/>
        </w:rPr>
        <w:t xml:space="preserve">required </w:t>
      </w:r>
      <w:r>
        <w:rPr>
          <w:rFonts w:ascii="Times New Roman" w:hAnsi="Times New Roman" w:cs="Times New Roman"/>
          <w:sz w:val="24"/>
          <w:szCs w:val="24"/>
        </w:rPr>
        <w:t xml:space="preserve">specific </w:t>
      </w:r>
      <w:r w:rsidRPr="00203241">
        <w:rPr>
          <w:rFonts w:ascii="Times New Roman" w:hAnsi="Times New Roman" w:cs="Times New Roman"/>
          <w:sz w:val="24"/>
          <w:szCs w:val="24"/>
        </w:rPr>
        <w:t>organisational responses</w:t>
      </w:r>
      <w:r>
        <w:rPr>
          <w:rFonts w:ascii="Times New Roman" w:hAnsi="Times New Roman" w:cs="Times New Roman"/>
          <w:sz w:val="24"/>
          <w:szCs w:val="24"/>
        </w:rPr>
        <w:t xml:space="preserve">. In this sense, </w:t>
      </w:r>
      <w:r w:rsidRPr="00203241">
        <w:rPr>
          <w:rFonts w:ascii="Times New Roman" w:hAnsi="Times New Roman" w:cs="Times New Roman"/>
          <w:sz w:val="24"/>
          <w:szCs w:val="24"/>
        </w:rPr>
        <w:t xml:space="preserve">the approach to measurement </w:t>
      </w:r>
      <w:r>
        <w:rPr>
          <w:rFonts w:ascii="Times New Roman" w:hAnsi="Times New Roman" w:cs="Times New Roman"/>
          <w:sz w:val="24"/>
          <w:szCs w:val="24"/>
        </w:rPr>
        <w:t xml:space="preserve">became </w:t>
      </w:r>
      <w:r w:rsidRPr="00203241">
        <w:rPr>
          <w:rFonts w:ascii="Times New Roman" w:hAnsi="Times New Roman" w:cs="Times New Roman"/>
          <w:sz w:val="24"/>
          <w:szCs w:val="24"/>
        </w:rPr>
        <w:t>a strategic imperative to navigate the emerging shifts in influence among different actors</w:t>
      </w:r>
      <w:r>
        <w:rPr>
          <w:rFonts w:ascii="Times New Roman" w:hAnsi="Times New Roman" w:cs="Times New Roman"/>
          <w:sz w:val="24"/>
          <w:szCs w:val="24"/>
        </w:rPr>
        <w:t xml:space="preserve"> in the field</w:t>
      </w:r>
      <w:r w:rsidRPr="00203241">
        <w:rPr>
          <w:rFonts w:ascii="Times New Roman" w:hAnsi="Times New Roman" w:cs="Times New Roman"/>
          <w:sz w:val="24"/>
          <w:szCs w:val="24"/>
        </w:rPr>
        <w:t>. As such, poverty measurement became a sphere of wha</w:t>
      </w:r>
      <w:r>
        <w:rPr>
          <w:rFonts w:ascii="Times New Roman" w:hAnsi="Times New Roman" w:cs="Times New Roman"/>
          <w:sz w:val="24"/>
          <w:szCs w:val="24"/>
        </w:rPr>
        <w:t>t one interviewee described as “</w:t>
      </w:r>
      <w:r w:rsidRPr="00203241">
        <w:rPr>
          <w:rFonts w:ascii="Times New Roman" w:hAnsi="Times New Roman" w:cs="Times New Roman"/>
          <w:sz w:val="24"/>
          <w:szCs w:val="24"/>
        </w:rPr>
        <w:t xml:space="preserve">organisational vested </w:t>
      </w:r>
      <w:r>
        <w:rPr>
          <w:rFonts w:ascii="Times New Roman" w:hAnsi="Times New Roman" w:cs="Times New Roman"/>
          <w:sz w:val="24"/>
          <w:szCs w:val="24"/>
        </w:rPr>
        <w:t>interests”</w:t>
      </w:r>
      <w:r w:rsidRPr="00751C67">
        <w:rPr>
          <w:rFonts w:ascii="Times New Roman" w:hAnsi="Times New Roman" w:cs="Times New Roman"/>
          <w:sz w:val="24"/>
          <w:szCs w:val="24"/>
        </w:rPr>
        <w:t xml:space="preserve"> (UNDP3).</w:t>
      </w:r>
      <w:r w:rsidRPr="00203241">
        <w:rPr>
          <w:rFonts w:ascii="Times New Roman" w:hAnsi="Times New Roman" w:cs="Times New Roman"/>
          <w:sz w:val="24"/>
          <w:szCs w:val="24"/>
        </w:rPr>
        <w:t xml:space="preserve"> For example, the decision of the World Bank to </w:t>
      </w:r>
      <w:r w:rsidRPr="00203241">
        <w:rPr>
          <w:rFonts w:ascii="Times New Roman" w:hAnsi="Times New Roman" w:cs="Times New Roman"/>
          <w:sz w:val="24"/>
          <w:szCs w:val="24"/>
        </w:rPr>
        <w:lastRenderedPageBreak/>
        <w:t xml:space="preserve">introduce the multidimensional poverty index was seen as a </w:t>
      </w:r>
      <w:r w:rsidR="00800FBB">
        <w:rPr>
          <w:rFonts w:ascii="Times New Roman" w:hAnsi="Times New Roman" w:cs="Times New Roman"/>
          <w:sz w:val="24"/>
          <w:szCs w:val="24"/>
        </w:rPr>
        <w:t xml:space="preserve">threat </w:t>
      </w:r>
      <w:r w:rsidRPr="00203241">
        <w:rPr>
          <w:rFonts w:ascii="Times New Roman" w:hAnsi="Times New Roman" w:cs="Times New Roman"/>
          <w:sz w:val="24"/>
          <w:szCs w:val="24"/>
        </w:rPr>
        <w:t xml:space="preserve">to other actors. This issue was referred to as a problem of being a ‘one-indicator organisation’: </w:t>
      </w:r>
    </w:p>
    <w:p w14:paraId="405BB1CC"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We play a leadership role on the monetary metric and the measurement and the monitoring, but we are not a one indicator institution, for good and for bad! We have tonnes of things that we put out, we are doing business, and we have a human capital project. Our identity, our fundraising, and our business model is not predicated on the basis of a single measurement […]. Whereas UNDP has the Human Development Index, OPHI has MPI and their missions are narrower and they are very anchored around these measures, which has huge advantages because it allows to be much more focused, your messages are clear, but I think it has also some disadvantages that are if you feel like somebody is stepping into your field all of a sudden what does that mean (World Bank1).</w:t>
      </w:r>
    </w:p>
    <w:p w14:paraId="18C0A492" w14:textId="77777777" w:rsidR="00E107B9" w:rsidRPr="00203241" w:rsidRDefault="00E107B9" w:rsidP="00E107B9">
      <w:pPr>
        <w:spacing w:after="240" w:line="360" w:lineRule="auto"/>
        <w:jc w:val="both"/>
        <w:rPr>
          <w:rFonts w:ascii="Times New Roman" w:hAnsi="Times New Roman" w:cs="Times New Roman"/>
          <w:sz w:val="24"/>
          <w:szCs w:val="24"/>
        </w:rPr>
      </w:pPr>
      <w:r w:rsidRPr="00243187">
        <w:rPr>
          <w:rFonts w:ascii="Times New Roman" w:hAnsi="Times New Roman" w:cs="Times New Roman"/>
          <w:sz w:val="24"/>
          <w:szCs w:val="24"/>
        </w:rPr>
        <w:t>The organisations responded to the increasing methodological diversity by either expanding their measurement portfolio while risking the focus of their message (e.g. World Bank) or by continuing the promotion of one indicator while risking losing the competitive advantage in cases in which multiple organisations compete over the implementation of similar measures.</w:t>
      </w:r>
      <w:r w:rsidRPr="00203241">
        <w:rPr>
          <w:rFonts w:ascii="Times New Roman" w:hAnsi="Times New Roman" w:cs="Times New Roman"/>
          <w:sz w:val="24"/>
          <w:szCs w:val="24"/>
        </w:rPr>
        <w:t xml:space="preserve"> </w:t>
      </w:r>
      <w:r>
        <w:rPr>
          <w:rFonts w:ascii="Times New Roman" w:hAnsi="Times New Roman" w:cs="Times New Roman"/>
          <w:sz w:val="24"/>
          <w:szCs w:val="24"/>
        </w:rPr>
        <w:t>In this sense,</w:t>
      </w:r>
      <w:r w:rsidRPr="00203241">
        <w:rPr>
          <w:rFonts w:ascii="Times New Roman" w:hAnsi="Times New Roman" w:cs="Times New Roman"/>
          <w:sz w:val="24"/>
          <w:szCs w:val="24"/>
        </w:rPr>
        <w:t xml:space="preserve"> the KC </w:t>
      </w:r>
      <w:r>
        <w:rPr>
          <w:rFonts w:ascii="Times New Roman" w:hAnsi="Times New Roman" w:cs="Times New Roman"/>
          <w:sz w:val="24"/>
          <w:szCs w:val="24"/>
        </w:rPr>
        <w:t xml:space="preserve">emerged as a structuring force that that came to shape the IOs’ focus and their indicator </w:t>
      </w:r>
      <w:r w:rsidRPr="00203241">
        <w:rPr>
          <w:rFonts w:ascii="Times New Roman" w:hAnsi="Times New Roman" w:cs="Times New Roman"/>
          <w:sz w:val="24"/>
          <w:szCs w:val="24"/>
        </w:rPr>
        <w:t xml:space="preserve">portfolio. </w:t>
      </w:r>
    </w:p>
    <w:p w14:paraId="31763721" w14:textId="77777777" w:rsidR="00E107B9" w:rsidRPr="00203241" w:rsidRDefault="00E107B9" w:rsidP="00E107B9">
      <w:pPr>
        <w:keepNext/>
        <w:keepLines/>
        <w:numPr>
          <w:ilvl w:val="1"/>
          <w:numId w:val="2"/>
        </w:numPr>
        <w:spacing w:before="240" w:after="240"/>
        <w:outlineLvl w:val="0"/>
        <w:rPr>
          <w:rFonts w:ascii="Times New Roman" w:eastAsiaTheme="majorEastAsia" w:hAnsi="Times New Roman" w:cs="Times New Roman"/>
          <w:b/>
          <w:sz w:val="24"/>
          <w:szCs w:val="24"/>
        </w:rPr>
      </w:pPr>
      <w:r w:rsidRPr="00203241">
        <w:rPr>
          <w:rFonts w:ascii="Times New Roman" w:eastAsiaTheme="majorEastAsia" w:hAnsi="Times New Roman" w:cs="Times New Roman"/>
          <w:b/>
          <w:sz w:val="24"/>
          <w:szCs w:val="24"/>
        </w:rPr>
        <w:t>The market of indicators – Knowledge controversy as a locus of competition</w:t>
      </w:r>
    </w:p>
    <w:p w14:paraId="1F2DA869" w14:textId="7B133DB9" w:rsidR="00E107B9"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A consequence of the heterogeneising power of KC was the multiplication of indicators measuring seemingly similar phenomena (e.g. multidimensional poverty in Table 1), which exacerbated competitive behaviours among IOs and consolidated a space that can be seen as a </w:t>
      </w:r>
      <w:r w:rsidRPr="00707ABD">
        <w:rPr>
          <w:rFonts w:ascii="Times New Roman" w:hAnsi="Times New Roman" w:cs="Times New Roman"/>
          <w:i/>
          <w:sz w:val="24"/>
          <w:szCs w:val="24"/>
        </w:rPr>
        <w:t>market for indicators</w:t>
      </w:r>
      <w:r w:rsidRPr="008F0F2E">
        <w:rPr>
          <w:rFonts w:ascii="Times New Roman" w:hAnsi="Times New Roman" w:cs="Times New Roman"/>
          <w:sz w:val="24"/>
          <w:szCs w:val="24"/>
        </w:rPr>
        <w:t>.</w:t>
      </w:r>
      <w:r w:rsidRPr="00203241">
        <w:rPr>
          <w:rFonts w:ascii="Times New Roman" w:hAnsi="Times New Roman" w:cs="Times New Roman"/>
          <w:sz w:val="24"/>
          <w:szCs w:val="24"/>
        </w:rPr>
        <w:t xml:space="preserve"> In this space, IOs act competitively as providers of know-how and technical assistance to country officials who are making decisions regarding the form of measurement to employ</w:t>
      </w:r>
      <w:r>
        <w:rPr>
          <w:rFonts w:ascii="Times New Roman" w:hAnsi="Times New Roman" w:cs="Times New Roman"/>
          <w:sz w:val="24"/>
          <w:szCs w:val="24"/>
        </w:rPr>
        <w:t xml:space="preserve"> in their contexts</w:t>
      </w:r>
      <w:r w:rsidRPr="00203241">
        <w:rPr>
          <w:rFonts w:ascii="Times New Roman" w:hAnsi="Times New Roman" w:cs="Times New Roman"/>
          <w:sz w:val="24"/>
          <w:szCs w:val="24"/>
        </w:rPr>
        <w:t>.</w:t>
      </w:r>
      <w:r>
        <w:rPr>
          <w:rFonts w:ascii="Times New Roman" w:hAnsi="Times New Roman" w:cs="Times New Roman"/>
          <w:sz w:val="24"/>
          <w:szCs w:val="24"/>
        </w:rPr>
        <w:t xml:space="preserve"> </w:t>
      </w:r>
    </w:p>
    <w:p w14:paraId="35A27932" w14:textId="19B3275C"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Most of the interviewees acknowledged that the competition enables different forms of knowledge creation and referred to ‘spurring’ innovation and improving the existing measures. This view, akin to the ‘epistemological value’ of competition (Davies, 2014), assumed competition to have positive effects on performance as it motivates actors to constantly innovate (LeGrand, 2003). At the same time, this was contrasted by a recognition of ‘resource detriment’ of competition as the interviewees discussed organisational and political risks associated with the market</w:t>
      </w:r>
      <w:r w:rsidR="00F2159B">
        <w:rPr>
          <w:rFonts w:ascii="Times New Roman" w:hAnsi="Times New Roman" w:cs="Times New Roman"/>
          <w:sz w:val="24"/>
          <w:szCs w:val="24"/>
        </w:rPr>
        <w:t xml:space="preserve"> of multidimensional indicators</w:t>
      </w:r>
      <w:r w:rsidRPr="00203241">
        <w:rPr>
          <w:rFonts w:ascii="Times New Roman" w:hAnsi="Times New Roman" w:cs="Times New Roman"/>
          <w:sz w:val="24"/>
          <w:szCs w:val="24"/>
        </w:rPr>
        <w:t>:</w:t>
      </w:r>
    </w:p>
    <w:p w14:paraId="35103DB8"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 xml:space="preserve">I don’t think it’s a very good outcome that we have three multidimensional [measures], I think it’s confusing to people, it duplicates work. […] I think there is certainly a </w:t>
      </w:r>
      <w:r w:rsidRPr="00203241">
        <w:rPr>
          <w:rFonts w:ascii="Times New Roman" w:hAnsi="Times New Roman" w:cs="Times New Roman"/>
          <w:sz w:val="24"/>
          <w:szCs w:val="24"/>
        </w:rPr>
        <w:lastRenderedPageBreak/>
        <w:t>competition, competition is good if different measures study different things and it spurs innovation. But it might also distract and consume resources (WorldBank4).</w:t>
      </w:r>
    </w:p>
    <w:p w14:paraId="4B1C8B6B" w14:textId="77777777"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The KC impacted the competition among IOs by preventing the emergence of a central actor with </w:t>
      </w:r>
      <w:r>
        <w:rPr>
          <w:rFonts w:ascii="Times New Roman" w:hAnsi="Times New Roman" w:cs="Times New Roman"/>
          <w:sz w:val="24"/>
          <w:szCs w:val="24"/>
        </w:rPr>
        <w:t xml:space="preserve">sufficient </w:t>
      </w:r>
      <w:r w:rsidRPr="00203241">
        <w:rPr>
          <w:rFonts w:ascii="Times New Roman" w:hAnsi="Times New Roman" w:cs="Times New Roman"/>
          <w:sz w:val="24"/>
          <w:szCs w:val="24"/>
        </w:rPr>
        <w:t xml:space="preserve">power </w:t>
      </w:r>
      <w:r>
        <w:rPr>
          <w:rFonts w:ascii="Times New Roman" w:hAnsi="Times New Roman" w:cs="Times New Roman"/>
          <w:sz w:val="24"/>
          <w:szCs w:val="24"/>
        </w:rPr>
        <w:t xml:space="preserve">and legitimacy </w:t>
      </w:r>
      <w:r w:rsidRPr="00203241">
        <w:rPr>
          <w:rFonts w:ascii="Times New Roman" w:hAnsi="Times New Roman" w:cs="Times New Roman"/>
          <w:sz w:val="24"/>
          <w:szCs w:val="24"/>
        </w:rPr>
        <w:t xml:space="preserve">to make </w:t>
      </w:r>
      <w:r>
        <w:rPr>
          <w:rFonts w:ascii="Times New Roman" w:hAnsi="Times New Roman" w:cs="Times New Roman"/>
          <w:sz w:val="24"/>
          <w:szCs w:val="24"/>
        </w:rPr>
        <w:t>standard-setting</w:t>
      </w:r>
      <w:r w:rsidRPr="00203241">
        <w:rPr>
          <w:rFonts w:ascii="Times New Roman" w:hAnsi="Times New Roman" w:cs="Times New Roman"/>
          <w:sz w:val="24"/>
          <w:szCs w:val="24"/>
        </w:rPr>
        <w:t xml:space="preserve"> decisions regarding measurement. This </w:t>
      </w:r>
      <w:r>
        <w:rPr>
          <w:rFonts w:ascii="Times New Roman" w:hAnsi="Times New Roman" w:cs="Times New Roman"/>
          <w:sz w:val="24"/>
          <w:szCs w:val="24"/>
        </w:rPr>
        <w:t>could be illustrated</w:t>
      </w:r>
      <w:r w:rsidRPr="00203241">
        <w:rPr>
          <w:rFonts w:ascii="Times New Roman" w:hAnsi="Times New Roman" w:cs="Times New Roman"/>
          <w:sz w:val="24"/>
          <w:szCs w:val="24"/>
        </w:rPr>
        <w:t xml:space="preserve"> by the infrastructure of SDG 1.1.2 which – unlike the vast majority of targets – lacks a ‘custodial agency’</w:t>
      </w:r>
      <w:r>
        <w:rPr>
          <w:rFonts w:ascii="Times New Roman" w:hAnsi="Times New Roman" w:cs="Times New Roman"/>
          <w:sz w:val="24"/>
          <w:szCs w:val="24"/>
        </w:rPr>
        <w:t>:</w:t>
      </w:r>
    </w:p>
    <w:p w14:paraId="211D5DF7" w14:textId="77777777"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[One of the few targets] where no international organization have any responsibilities to multi-dimensional poverty measure. I don’t know why that is. UNICEF does a bit of help, the World Bank does a bit of help, UNDP does a bit of help. It’s no one’s job. Of course, you then get World Bank, UNDP, UNICEF, proposing different things, which is less than helpful if you’re a national statistical office. […] Of course, regional organizations try and also suggest different things, and academics suggest different things. You end up with a nice selection, and no one [recommendation] (UNICEF14).</w:t>
      </w:r>
    </w:p>
    <w:p w14:paraId="7EAA9B40" w14:textId="66EB28DD" w:rsidR="00E107B9"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Consequently, the competition was driven predominantly by actors outside of the competitors themselves –</w:t>
      </w:r>
      <w:r w:rsidR="0085615E">
        <w:rPr>
          <w:rFonts w:ascii="Times New Roman" w:hAnsi="Times New Roman" w:cs="Times New Roman"/>
          <w:sz w:val="24"/>
          <w:szCs w:val="24"/>
        </w:rPr>
        <w:t xml:space="preserve"> the </w:t>
      </w:r>
      <w:r w:rsidRPr="00203241">
        <w:rPr>
          <w:rFonts w:ascii="Times New Roman" w:hAnsi="Times New Roman" w:cs="Times New Roman"/>
          <w:sz w:val="24"/>
          <w:szCs w:val="24"/>
        </w:rPr>
        <w:t>‘</w:t>
      </w:r>
      <w:r w:rsidR="0085615E">
        <w:rPr>
          <w:rFonts w:ascii="Times New Roman" w:hAnsi="Times New Roman" w:cs="Times New Roman"/>
          <w:sz w:val="24"/>
          <w:szCs w:val="24"/>
        </w:rPr>
        <w:t>customers’</w:t>
      </w:r>
      <w:r>
        <w:rPr>
          <w:rFonts w:ascii="Times New Roman" w:hAnsi="Times New Roman" w:cs="Times New Roman"/>
          <w:sz w:val="24"/>
          <w:szCs w:val="24"/>
        </w:rPr>
        <w:t xml:space="preserve"> of the poverty indicators which in this setting entailed the decision-makers i.e. the representatives of the country governments and national statistical agencies. In order to persuade and attract their ‘customers’, </w:t>
      </w:r>
      <w:r w:rsidRPr="00203241">
        <w:rPr>
          <w:rFonts w:ascii="Times New Roman" w:hAnsi="Times New Roman" w:cs="Times New Roman"/>
          <w:sz w:val="24"/>
          <w:szCs w:val="24"/>
        </w:rPr>
        <w:t xml:space="preserve">the IOs </w:t>
      </w:r>
      <w:r>
        <w:rPr>
          <w:rFonts w:ascii="Times New Roman" w:hAnsi="Times New Roman" w:cs="Times New Roman"/>
          <w:sz w:val="24"/>
          <w:szCs w:val="24"/>
        </w:rPr>
        <w:t>became</w:t>
      </w:r>
      <w:r w:rsidRPr="00203241">
        <w:rPr>
          <w:rFonts w:ascii="Times New Roman" w:hAnsi="Times New Roman" w:cs="Times New Roman"/>
          <w:sz w:val="24"/>
          <w:szCs w:val="24"/>
        </w:rPr>
        <w:t xml:space="preserve"> </w:t>
      </w:r>
      <w:r>
        <w:rPr>
          <w:rFonts w:ascii="Times New Roman" w:hAnsi="Times New Roman" w:cs="Times New Roman"/>
          <w:sz w:val="24"/>
          <w:szCs w:val="24"/>
        </w:rPr>
        <w:t>increasingly focused</w:t>
      </w:r>
      <w:r w:rsidRPr="00203241">
        <w:rPr>
          <w:rFonts w:ascii="Times New Roman" w:hAnsi="Times New Roman" w:cs="Times New Roman"/>
          <w:sz w:val="24"/>
          <w:szCs w:val="24"/>
        </w:rPr>
        <w:t xml:space="preserve"> on differentiat</w:t>
      </w:r>
      <w:r>
        <w:rPr>
          <w:rFonts w:ascii="Times New Roman" w:hAnsi="Times New Roman" w:cs="Times New Roman"/>
          <w:sz w:val="24"/>
          <w:szCs w:val="24"/>
        </w:rPr>
        <w:t>ing their approaches from others w</w:t>
      </w:r>
      <w:r w:rsidRPr="00203241">
        <w:rPr>
          <w:rFonts w:ascii="Times New Roman" w:hAnsi="Times New Roman" w:cs="Times New Roman"/>
          <w:sz w:val="24"/>
          <w:szCs w:val="24"/>
        </w:rPr>
        <w:t>hile adhering to technical baselines</w:t>
      </w:r>
      <w:r>
        <w:rPr>
          <w:rFonts w:ascii="Times New Roman" w:hAnsi="Times New Roman" w:cs="Times New Roman"/>
          <w:sz w:val="24"/>
          <w:szCs w:val="24"/>
        </w:rPr>
        <w:t>.</w:t>
      </w:r>
      <w:r w:rsidRPr="00203241">
        <w:rPr>
          <w:rFonts w:ascii="Times New Roman" w:hAnsi="Times New Roman" w:cs="Times New Roman"/>
          <w:sz w:val="24"/>
          <w:szCs w:val="24"/>
        </w:rPr>
        <w:t xml:space="preserve"> </w:t>
      </w:r>
    </w:p>
    <w:p w14:paraId="7212F43D" w14:textId="77777777"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For instance, the World Bank introduced the monetary dimension, UNICEF focused on individual (child-level) rather than household-level data (OPHI’s approach). Furthermore, the organisations strengthened their ‘unique selling points’ on the market by making claims regarding organisational advantages, for example existing networks or available expertise:</w:t>
      </w:r>
    </w:p>
    <w:p w14:paraId="5C30AA17"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Times New Roman" w:hAnsi="Times New Roman" w:cs="Times New Roman"/>
          <w:b/>
          <w:bCs/>
          <w:sz w:val="24"/>
          <w:szCs w:val="24"/>
        </w:rPr>
      </w:pPr>
      <w:r w:rsidRPr="00203241">
        <w:rPr>
          <w:rFonts w:ascii="Times New Roman" w:hAnsi="Times New Roman" w:cs="Times New Roman"/>
          <w:sz w:val="24"/>
          <w:szCs w:val="24"/>
        </w:rPr>
        <w:t>The World Bank is starting to look more into the multidimensional aspects. […] It’s interesting how everybody’s moving a little bit into each other’s realms. We’re all becoming a bit more alike. […] I don’t see it as an issue because they’re doing things that we can’t do, and there’s still things that we can do that they can’t do. So what we have which they don’t have is field presence for example, which they sometimes rely on. […] And the established government relationship we have, we’re maybe a bit more of a trusted partner in every country. On the other hand, they can do things that we can’t. For example estimate monetary child poverty. […]  So we absolutely rely on them for that (UNICEF3).</w:t>
      </w:r>
    </w:p>
    <w:p w14:paraId="51FA1DC7"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Times New Roman" w:hAnsi="Times New Roman" w:cs="Times New Roman"/>
          <w:b/>
          <w:bCs/>
          <w:sz w:val="24"/>
          <w:szCs w:val="24"/>
        </w:rPr>
      </w:pPr>
    </w:p>
    <w:p w14:paraId="03554AF1" w14:textId="79BE6DCC"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Consequently, the ‘market of indicators</w:t>
      </w:r>
      <w:r>
        <w:rPr>
          <w:rFonts w:ascii="Times New Roman" w:hAnsi="Times New Roman" w:cs="Times New Roman"/>
          <w:sz w:val="24"/>
          <w:szCs w:val="24"/>
        </w:rPr>
        <w:t xml:space="preserve">’ </w:t>
      </w:r>
      <w:r w:rsidR="0013486D">
        <w:rPr>
          <w:rFonts w:ascii="Times New Roman" w:hAnsi="Times New Roman" w:cs="Times New Roman"/>
          <w:sz w:val="24"/>
          <w:szCs w:val="24"/>
        </w:rPr>
        <w:t>put</w:t>
      </w:r>
      <w:r>
        <w:rPr>
          <w:rFonts w:ascii="Times New Roman" w:hAnsi="Times New Roman" w:cs="Times New Roman"/>
          <w:sz w:val="24"/>
          <w:szCs w:val="24"/>
        </w:rPr>
        <w:t xml:space="preserve"> contradictory pressures</w:t>
      </w:r>
      <w:r w:rsidR="0013486D">
        <w:rPr>
          <w:rFonts w:ascii="Times New Roman" w:hAnsi="Times New Roman" w:cs="Times New Roman"/>
          <w:sz w:val="24"/>
          <w:szCs w:val="24"/>
        </w:rPr>
        <w:t xml:space="preserve"> on the IOs</w:t>
      </w:r>
      <w:r w:rsidR="009A14A3">
        <w:rPr>
          <w:rFonts w:ascii="Times New Roman" w:hAnsi="Times New Roman" w:cs="Times New Roman"/>
          <w:sz w:val="24"/>
          <w:szCs w:val="24"/>
        </w:rPr>
        <w:t>: i</w:t>
      </w:r>
      <w:r w:rsidRPr="00203241">
        <w:rPr>
          <w:rFonts w:ascii="Times New Roman" w:hAnsi="Times New Roman" w:cs="Times New Roman"/>
          <w:sz w:val="24"/>
          <w:szCs w:val="24"/>
        </w:rPr>
        <w:t xml:space="preserve">t required coordination among the approaches to establish methodological common ground and assure the credibility of the field, whilst </w:t>
      </w:r>
      <w:r w:rsidR="0013486D">
        <w:rPr>
          <w:rFonts w:ascii="Times New Roman" w:hAnsi="Times New Roman" w:cs="Times New Roman"/>
          <w:sz w:val="24"/>
          <w:szCs w:val="24"/>
        </w:rPr>
        <w:t xml:space="preserve">the </w:t>
      </w:r>
      <w:r w:rsidRPr="00203241">
        <w:rPr>
          <w:rFonts w:ascii="Times New Roman" w:hAnsi="Times New Roman" w:cs="Times New Roman"/>
          <w:sz w:val="24"/>
          <w:szCs w:val="24"/>
        </w:rPr>
        <w:t>competition required differentiation of the measures to discriminate between actors. This was important as the countries could implement multiple measures – an aspect that was almost univocally perceived as problematic:</w:t>
      </w:r>
    </w:p>
    <w:p w14:paraId="7A28A563" w14:textId="77777777" w:rsidR="00E107B9" w:rsidRPr="00203241" w:rsidRDefault="00E107B9" w:rsidP="00E107B9">
      <w:pPr>
        <w:kinsoku w:val="0"/>
        <w:overflowPunct w:val="0"/>
        <w:autoSpaceDE w:val="0"/>
        <w:autoSpaceDN w:val="0"/>
        <w:adjustRightInd w:val="0"/>
        <w:spacing w:after="240" w:line="240" w:lineRule="auto"/>
        <w:ind w:left="720"/>
        <w:jc w:val="both"/>
        <w:rPr>
          <w:rFonts w:ascii="Times New Roman" w:eastAsia="Garamond" w:hAnsi="Times New Roman" w:cs="Times New Roman"/>
          <w:sz w:val="24"/>
          <w:szCs w:val="24"/>
          <w:lang w:val="en-US"/>
        </w:rPr>
      </w:pPr>
      <w:r w:rsidRPr="00203241">
        <w:rPr>
          <w:rFonts w:ascii="Times New Roman" w:eastAsia="Garamond" w:hAnsi="Times New Roman" w:cs="Times New Roman"/>
          <w:sz w:val="24"/>
          <w:szCs w:val="24"/>
          <w:lang w:val="en-US"/>
        </w:rPr>
        <w:lastRenderedPageBreak/>
        <w:t>Many countries have just said OK we’ll take the UNICEF measure to track child poverty and we’ll take the World Bank’s measure to track extreme poverty and we’ll use our own national poverty line. It gets to a point of complete silliness, in countries like Vietnam, where you have two monetary poverty measures: One that is used by the Ministry of Labor, Invalids and Social Affairs which uses income; and another by the Office for National Statistics which uses consumption and reports the national poverty standards. Then you have two competing multidimensional approaches: One that has been produced by MOLISA with OPHI and UNDP, and another for child poverty produced in conjunction with UNICEF (UNICEF2).</w:t>
      </w:r>
    </w:p>
    <w:p w14:paraId="045DBCC2" w14:textId="77777777"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The methodological differences between the various approaches in situations such as the one in Vietnam led to contradictory poverty numbers</w:t>
      </w:r>
      <w:r>
        <w:rPr>
          <w:rFonts w:ascii="Times New Roman" w:hAnsi="Times New Roman" w:cs="Times New Roman"/>
          <w:sz w:val="24"/>
          <w:szCs w:val="24"/>
        </w:rPr>
        <w:t>. Our interviewees were increasingly concerned about how the political use of multiple indicators could compromise</w:t>
      </w:r>
      <w:r w:rsidRPr="00203241">
        <w:rPr>
          <w:rFonts w:ascii="Times New Roman" w:hAnsi="Times New Roman" w:cs="Times New Roman"/>
          <w:sz w:val="24"/>
          <w:szCs w:val="24"/>
        </w:rPr>
        <w:t xml:space="preserve"> consistent communication on poverty and/or the progress of anti-poverty initiatives</w:t>
      </w:r>
      <w:r>
        <w:rPr>
          <w:rFonts w:ascii="Times New Roman" w:hAnsi="Times New Roman" w:cs="Times New Roman"/>
          <w:sz w:val="24"/>
          <w:szCs w:val="24"/>
        </w:rPr>
        <w:t xml:space="preserve"> at the country level:</w:t>
      </w:r>
    </w:p>
    <w:p w14:paraId="1B1F175A"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Something I’ve seen at the country level is that</w:t>
      </w:r>
      <w:r>
        <w:rPr>
          <w:rFonts w:ascii="Times New Roman" w:hAnsi="Times New Roman" w:cs="Times New Roman"/>
          <w:sz w:val="24"/>
          <w:szCs w:val="24"/>
        </w:rPr>
        <w:t>,</w:t>
      </w:r>
      <w:r w:rsidRPr="00203241">
        <w:rPr>
          <w:rFonts w:ascii="Times New Roman" w:hAnsi="Times New Roman" w:cs="Times New Roman"/>
          <w:sz w:val="24"/>
          <w:szCs w:val="24"/>
        </w:rPr>
        <w:t xml:space="preserve"> when they have to measure</w:t>
      </w:r>
      <w:r>
        <w:rPr>
          <w:rFonts w:ascii="Times New Roman" w:hAnsi="Times New Roman" w:cs="Times New Roman"/>
          <w:sz w:val="24"/>
          <w:szCs w:val="24"/>
        </w:rPr>
        <w:t>,</w:t>
      </w:r>
      <w:r w:rsidRPr="00203241">
        <w:rPr>
          <w:rFonts w:ascii="Times New Roman" w:hAnsi="Times New Roman" w:cs="Times New Roman"/>
          <w:sz w:val="24"/>
          <w:szCs w:val="24"/>
        </w:rPr>
        <w:t xml:space="preserve"> they say: ‘OK but which one is it? Does it go up or down?’ It’s a very hard thing to explain. I say: ‘Well no, if you have this framework or if you have this framework you think poverty went up but if you have this framework this poverty went down’ (WorldBank6).</w:t>
      </w:r>
    </w:p>
    <w:p w14:paraId="12CF8601" w14:textId="61EEDA47"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This contradictory messaging stemming from different measures was </w:t>
      </w:r>
      <w:r w:rsidR="0013486D">
        <w:rPr>
          <w:rFonts w:ascii="Times New Roman" w:hAnsi="Times New Roman" w:cs="Times New Roman"/>
          <w:sz w:val="24"/>
          <w:szCs w:val="24"/>
        </w:rPr>
        <w:t>perceived to inhibit the</w:t>
      </w:r>
      <w:r w:rsidRPr="00203241">
        <w:rPr>
          <w:rFonts w:ascii="Times New Roman" w:hAnsi="Times New Roman" w:cs="Times New Roman"/>
          <w:sz w:val="24"/>
          <w:szCs w:val="24"/>
        </w:rPr>
        <w:t xml:space="preserve"> policymakers’ </w:t>
      </w:r>
      <w:r w:rsidR="0013486D">
        <w:rPr>
          <w:rFonts w:ascii="Times New Roman" w:hAnsi="Times New Roman" w:cs="Times New Roman"/>
          <w:sz w:val="24"/>
          <w:szCs w:val="24"/>
        </w:rPr>
        <w:t>ability</w:t>
      </w:r>
      <w:r w:rsidRPr="00203241">
        <w:rPr>
          <w:rFonts w:ascii="Times New Roman" w:hAnsi="Times New Roman" w:cs="Times New Roman"/>
          <w:sz w:val="24"/>
          <w:szCs w:val="24"/>
        </w:rPr>
        <w:t xml:space="preserve"> to implement poverty action. The multiplicity of measures was open to the risk of ‘cherry-picking’ </w:t>
      </w:r>
      <w:r>
        <w:rPr>
          <w:rFonts w:ascii="Times New Roman" w:hAnsi="Times New Roman" w:cs="Times New Roman"/>
          <w:sz w:val="24"/>
          <w:szCs w:val="24"/>
        </w:rPr>
        <w:t>or even</w:t>
      </w:r>
      <w:r w:rsidRPr="00203241">
        <w:rPr>
          <w:rFonts w:ascii="Times New Roman" w:hAnsi="Times New Roman" w:cs="Times New Roman"/>
          <w:sz w:val="24"/>
          <w:szCs w:val="24"/>
        </w:rPr>
        <w:t xml:space="preserve"> ‘gaming’ specific numbers to deliberately divert the attention of key actors</w:t>
      </w:r>
      <w:r w:rsidR="0013486D">
        <w:rPr>
          <w:rFonts w:ascii="Times New Roman" w:hAnsi="Times New Roman" w:cs="Times New Roman"/>
          <w:sz w:val="24"/>
          <w:szCs w:val="24"/>
        </w:rPr>
        <w:t xml:space="preserve"> and publics</w:t>
      </w:r>
      <w:r w:rsidRPr="00203241">
        <w:rPr>
          <w:rFonts w:ascii="Times New Roman" w:hAnsi="Times New Roman" w:cs="Times New Roman"/>
          <w:sz w:val="24"/>
          <w:szCs w:val="24"/>
        </w:rPr>
        <w:t xml:space="preserve">. </w:t>
      </w:r>
      <w:r>
        <w:rPr>
          <w:rFonts w:ascii="Times New Roman" w:hAnsi="Times New Roman" w:cs="Times New Roman"/>
          <w:sz w:val="24"/>
          <w:szCs w:val="24"/>
        </w:rPr>
        <w:t xml:space="preserve">The evidence presented thus far shows how the simultaneous pressures for </w:t>
      </w:r>
      <w:r w:rsidRPr="00732EA6">
        <w:rPr>
          <w:rFonts w:ascii="Times New Roman" w:hAnsi="Times New Roman" w:cs="Times New Roman"/>
          <w:i/>
          <w:sz w:val="24"/>
          <w:szCs w:val="24"/>
        </w:rPr>
        <w:t>alignment</w:t>
      </w:r>
      <w:r>
        <w:rPr>
          <w:rFonts w:ascii="Times New Roman" w:hAnsi="Times New Roman" w:cs="Times New Roman"/>
          <w:sz w:val="24"/>
          <w:szCs w:val="24"/>
        </w:rPr>
        <w:t xml:space="preserve"> (in the form of adherence to methodological baselines) and </w:t>
      </w:r>
      <w:r w:rsidRPr="00732EA6">
        <w:rPr>
          <w:rFonts w:ascii="Times New Roman" w:hAnsi="Times New Roman" w:cs="Times New Roman"/>
          <w:i/>
          <w:sz w:val="24"/>
          <w:szCs w:val="24"/>
        </w:rPr>
        <w:t>differentiation</w:t>
      </w:r>
      <w:r>
        <w:rPr>
          <w:rFonts w:ascii="Times New Roman" w:hAnsi="Times New Roman" w:cs="Times New Roman"/>
          <w:sz w:val="24"/>
          <w:szCs w:val="24"/>
        </w:rPr>
        <w:t xml:space="preserve"> not only shaped the IOs’ indicator portfolio but also brought to light the strategic nature of measurement approaches that were to coexist in the blurred boundaries of the KC. </w:t>
      </w:r>
      <w:r w:rsidRPr="00203241">
        <w:rPr>
          <w:rFonts w:ascii="Times New Roman" w:hAnsi="Times New Roman" w:cs="Times New Roman"/>
          <w:sz w:val="24"/>
          <w:szCs w:val="24"/>
        </w:rPr>
        <w:t xml:space="preserve"> Building on these insights on how the KC structured the institutional and competitive features poverty measurement space, in what follows we explore some of the ‘struggles over value’ </w:t>
      </w:r>
      <w:r>
        <w:rPr>
          <w:rFonts w:ascii="Times New Roman" w:hAnsi="Times New Roman" w:cs="Times New Roman"/>
          <w:sz w:val="24"/>
          <w:szCs w:val="24"/>
        </w:rPr>
        <w:t xml:space="preserve">by expert engaged in producing and promoting the different forms of measurement. </w:t>
      </w:r>
    </w:p>
    <w:p w14:paraId="3E549195" w14:textId="77777777" w:rsidR="00E107B9" w:rsidRPr="00203241" w:rsidRDefault="00E107B9" w:rsidP="00E107B9">
      <w:pPr>
        <w:keepNext/>
        <w:keepLines/>
        <w:numPr>
          <w:ilvl w:val="1"/>
          <w:numId w:val="2"/>
        </w:numPr>
        <w:spacing w:before="240" w:after="240"/>
        <w:outlineLvl w:val="0"/>
        <w:rPr>
          <w:rFonts w:ascii="Times New Roman" w:eastAsiaTheme="majorEastAsia" w:hAnsi="Times New Roman" w:cs="Times New Roman"/>
          <w:b/>
          <w:sz w:val="24"/>
          <w:szCs w:val="24"/>
        </w:rPr>
      </w:pPr>
      <w:r w:rsidRPr="00203241">
        <w:rPr>
          <w:rFonts w:ascii="Times New Roman" w:eastAsiaTheme="majorEastAsia" w:hAnsi="Times New Roman" w:cs="Times New Roman"/>
          <w:b/>
          <w:sz w:val="24"/>
          <w:szCs w:val="24"/>
        </w:rPr>
        <w:t xml:space="preserve">Knowledge controversy as a resource for valuation </w:t>
      </w:r>
    </w:p>
    <w:p w14:paraId="4D61C3F7" w14:textId="762C2D50"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The expansion and adoption of an indicator in the competitive space was not driven solely by the measure’s epistemic robustness. The predominant view expressed in the literature on knowledge controversies (and one that is strongly confirmed in our empirical data) is that controversies ‘open the black box’ of knowledge production to unveil the underpinning assumptions which are otherwise taken-for-granted (Callon, 1998; Whatmore, 2009). Yet, the case of </w:t>
      </w:r>
      <w:r w:rsidR="0013486D">
        <w:rPr>
          <w:rFonts w:ascii="Times New Roman" w:hAnsi="Times New Roman" w:cs="Times New Roman"/>
          <w:sz w:val="24"/>
          <w:szCs w:val="24"/>
        </w:rPr>
        <w:t>the KC</w:t>
      </w:r>
      <w:r w:rsidRPr="00203241">
        <w:rPr>
          <w:rFonts w:ascii="Times New Roman" w:hAnsi="Times New Roman" w:cs="Times New Roman"/>
          <w:sz w:val="24"/>
          <w:szCs w:val="24"/>
        </w:rPr>
        <w:t xml:space="preserve"> in global poverty </w:t>
      </w:r>
      <w:r w:rsidR="0013486D">
        <w:rPr>
          <w:rFonts w:ascii="Times New Roman" w:hAnsi="Times New Roman" w:cs="Times New Roman"/>
          <w:sz w:val="24"/>
          <w:szCs w:val="24"/>
        </w:rPr>
        <w:t>measurement has</w:t>
      </w:r>
      <w:r w:rsidRPr="00203241">
        <w:rPr>
          <w:rFonts w:ascii="Times New Roman" w:hAnsi="Times New Roman" w:cs="Times New Roman"/>
          <w:sz w:val="24"/>
          <w:szCs w:val="24"/>
        </w:rPr>
        <w:t xml:space="preserve"> unveiled another black-box </w:t>
      </w:r>
      <w:r w:rsidR="0013486D">
        <w:rPr>
          <w:rFonts w:ascii="Times New Roman" w:hAnsi="Times New Roman" w:cs="Times New Roman"/>
          <w:sz w:val="24"/>
          <w:szCs w:val="24"/>
        </w:rPr>
        <w:t>that</w:t>
      </w:r>
      <w:r w:rsidRPr="00203241">
        <w:rPr>
          <w:rFonts w:ascii="Times New Roman" w:hAnsi="Times New Roman" w:cs="Times New Roman"/>
          <w:sz w:val="24"/>
          <w:szCs w:val="24"/>
        </w:rPr>
        <w:t xml:space="preserve"> the controversy</w:t>
      </w:r>
      <w:r w:rsidR="0013486D">
        <w:rPr>
          <w:rFonts w:ascii="Times New Roman" w:hAnsi="Times New Roman" w:cs="Times New Roman"/>
          <w:sz w:val="24"/>
          <w:szCs w:val="24"/>
        </w:rPr>
        <w:t xml:space="preserve"> allows to ‘open</w:t>
      </w:r>
      <w:r w:rsidRPr="00203241">
        <w:rPr>
          <w:rFonts w:ascii="Times New Roman" w:hAnsi="Times New Roman" w:cs="Times New Roman"/>
          <w:sz w:val="24"/>
          <w:szCs w:val="24"/>
        </w:rPr>
        <w:t xml:space="preserve"> up’ – that of the social practices of assigning epistemic, political, </w:t>
      </w:r>
      <w:r w:rsidRPr="00203241">
        <w:rPr>
          <w:rFonts w:ascii="Times New Roman" w:hAnsi="Times New Roman" w:cs="Times New Roman"/>
          <w:sz w:val="24"/>
          <w:szCs w:val="24"/>
        </w:rPr>
        <w:lastRenderedPageBreak/>
        <w:t>and strategic value to different indicators. These considerations are most of the time implicit, as the politics of measurement gets naturalised and institutionalised. However, in this case, the controversy resulted in an open debate</w:t>
      </w:r>
      <w:r w:rsidR="0013486D">
        <w:rPr>
          <w:rFonts w:ascii="Times New Roman" w:hAnsi="Times New Roman" w:cs="Times New Roman"/>
          <w:sz w:val="24"/>
          <w:szCs w:val="24"/>
        </w:rPr>
        <w:t xml:space="preserve"> and confrontation</w:t>
      </w:r>
      <w:r w:rsidRPr="00203241">
        <w:rPr>
          <w:rFonts w:ascii="Times New Roman" w:hAnsi="Times New Roman" w:cs="Times New Roman"/>
          <w:sz w:val="24"/>
          <w:szCs w:val="24"/>
        </w:rPr>
        <w:t xml:space="preserve"> over the various dimensions of </w:t>
      </w:r>
      <w:r w:rsidR="0013486D">
        <w:rPr>
          <w:rFonts w:ascii="Times New Roman" w:hAnsi="Times New Roman" w:cs="Times New Roman"/>
          <w:sz w:val="24"/>
          <w:szCs w:val="24"/>
        </w:rPr>
        <w:t xml:space="preserve">the </w:t>
      </w:r>
      <w:r w:rsidRPr="00203241">
        <w:rPr>
          <w:rFonts w:ascii="Times New Roman" w:hAnsi="Times New Roman" w:cs="Times New Roman"/>
          <w:sz w:val="24"/>
          <w:szCs w:val="24"/>
        </w:rPr>
        <w:t xml:space="preserve">worth of indicators. When advocating for their approaches (e.g. </w:t>
      </w:r>
      <w:r w:rsidR="0013486D">
        <w:rPr>
          <w:rFonts w:ascii="Times New Roman" w:hAnsi="Times New Roman" w:cs="Times New Roman"/>
          <w:sz w:val="24"/>
          <w:szCs w:val="24"/>
        </w:rPr>
        <w:t xml:space="preserve">while </w:t>
      </w:r>
      <w:r w:rsidRPr="00203241">
        <w:rPr>
          <w:rFonts w:ascii="Times New Roman" w:hAnsi="Times New Roman" w:cs="Times New Roman"/>
          <w:sz w:val="24"/>
          <w:szCs w:val="24"/>
        </w:rPr>
        <w:t xml:space="preserve">discussing measurement strategies with country governments) experts made a number of arguments aimed at communicating the values of measurement. </w:t>
      </w:r>
    </w:p>
    <w:p w14:paraId="3AA7B578" w14:textId="77777777" w:rsidR="00E107B9" w:rsidRPr="00203241" w:rsidRDefault="00E107B9" w:rsidP="00E107B9">
      <w:pPr>
        <w:keepNext/>
        <w:keepLines/>
        <w:numPr>
          <w:ilvl w:val="2"/>
          <w:numId w:val="2"/>
        </w:numPr>
        <w:spacing w:before="40" w:after="240"/>
        <w:outlineLvl w:val="1"/>
        <w:rPr>
          <w:rFonts w:ascii="Times New Roman" w:eastAsiaTheme="majorEastAsia" w:hAnsi="Times New Roman" w:cs="Times New Roman"/>
          <w:b/>
          <w:sz w:val="24"/>
          <w:szCs w:val="24"/>
        </w:rPr>
      </w:pPr>
      <w:r w:rsidRPr="00203241">
        <w:rPr>
          <w:rFonts w:ascii="Times New Roman" w:eastAsiaTheme="majorEastAsia" w:hAnsi="Times New Roman" w:cs="Times New Roman"/>
          <w:b/>
          <w:sz w:val="24"/>
          <w:szCs w:val="24"/>
        </w:rPr>
        <w:t xml:space="preserve">Epistemic value </w:t>
      </w:r>
    </w:p>
    <w:p w14:paraId="4EE99529" w14:textId="12903B1F"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The central way in which the IOs differentiated their measures was through their </w:t>
      </w:r>
      <w:r w:rsidRPr="003D5800">
        <w:rPr>
          <w:rFonts w:ascii="Times New Roman" w:hAnsi="Times New Roman"/>
          <w:sz w:val="24"/>
        </w:rPr>
        <w:t>methodological approach</w:t>
      </w:r>
      <w:r w:rsidRPr="003D5800">
        <w:rPr>
          <w:rFonts w:ascii="Times New Roman" w:hAnsi="Times New Roman" w:cs="Times New Roman"/>
          <w:sz w:val="24"/>
          <w:szCs w:val="24"/>
        </w:rPr>
        <w:t>.</w:t>
      </w:r>
      <w:r w:rsidRPr="00203241">
        <w:rPr>
          <w:rFonts w:ascii="Times New Roman" w:hAnsi="Times New Roman" w:cs="Times New Roman"/>
          <w:sz w:val="24"/>
          <w:szCs w:val="24"/>
        </w:rPr>
        <w:t xml:space="preserve"> Poverty is a complicated subject matter and </w:t>
      </w:r>
      <w:r w:rsidR="00B00DE9">
        <w:rPr>
          <w:rFonts w:ascii="Times New Roman" w:hAnsi="Times New Roman" w:cs="Times New Roman"/>
          <w:sz w:val="24"/>
          <w:szCs w:val="24"/>
        </w:rPr>
        <w:t xml:space="preserve">a high number </w:t>
      </w:r>
      <w:r w:rsidRPr="00203241">
        <w:rPr>
          <w:rFonts w:ascii="Times New Roman" w:hAnsi="Times New Roman" w:cs="Times New Roman"/>
          <w:sz w:val="24"/>
          <w:szCs w:val="24"/>
        </w:rPr>
        <w:t>of the economists we interviewed acknowledged that no measurement</w:t>
      </w:r>
      <w:r w:rsidR="00831E62">
        <w:rPr>
          <w:rFonts w:ascii="Times New Roman" w:hAnsi="Times New Roman" w:cs="Times New Roman"/>
          <w:sz w:val="24"/>
          <w:szCs w:val="24"/>
        </w:rPr>
        <w:t xml:space="preserve"> approach</w:t>
      </w:r>
      <w:r w:rsidRPr="00203241">
        <w:rPr>
          <w:rFonts w:ascii="Times New Roman" w:hAnsi="Times New Roman" w:cs="Times New Roman"/>
          <w:sz w:val="24"/>
          <w:szCs w:val="24"/>
        </w:rPr>
        <w:t xml:space="preserve"> can fully capture its inherent complexity. However, this </w:t>
      </w:r>
      <w:r w:rsidR="00B00DE9">
        <w:rPr>
          <w:rFonts w:ascii="Times New Roman" w:hAnsi="Times New Roman" w:cs="Times New Roman"/>
          <w:sz w:val="24"/>
          <w:szCs w:val="24"/>
        </w:rPr>
        <w:t>limitation</w:t>
      </w:r>
      <w:r w:rsidRPr="00203241">
        <w:rPr>
          <w:rFonts w:ascii="Times New Roman" w:hAnsi="Times New Roman" w:cs="Times New Roman"/>
          <w:sz w:val="24"/>
          <w:szCs w:val="24"/>
        </w:rPr>
        <w:t xml:space="preserve"> was not seen necessarily as an impediment to measurement as the ‘governability’ of poverty was perceived to be closely linked with the existence of multiple indicators. The claims to objectivity therefore filled in the gaps and drew boundaries around problems in poverty measurement. Consequently, a key argument used by the organisations to advocate for their measure was </w:t>
      </w:r>
      <w:r>
        <w:rPr>
          <w:rFonts w:ascii="Times New Roman" w:hAnsi="Times New Roman" w:cs="Times New Roman"/>
          <w:sz w:val="24"/>
          <w:szCs w:val="24"/>
        </w:rPr>
        <w:t>to refer</w:t>
      </w:r>
      <w:r w:rsidRPr="00203241">
        <w:rPr>
          <w:rFonts w:ascii="Times New Roman" w:hAnsi="Times New Roman" w:cs="Times New Roman"/>
          <w:sz w:val="24"/>
          <w:szCs w:val="24"/>
        </w:rPr>
        <w:t xml:space="preserve"> to the capacity of their measure to capture the ‘correct’ aspects of poverty. The defence of one’s methodology was frequently followed by a critique of the other organisations’ measure: </w:t>
      </w:r>
    </w:p>
    <w:p w14:paraId="720C1431" w14:textId="77777777" w:rsidR="00E107B9" w:rsidRPr="00203241" w:rsidRDefault="00E107B9" w:rsidP="00E107B9">
      <w:pPr>
        <w:kinsoku w:val="0"/>
        <w:overflowPunct w:val="0"/>
        <w:autoSpaceDE w:val="0"/>
        <w:autoSpaceDN w:val="0"/>
        <w:adjustRightInd w:val="0"/>
        <w:spacing w:after="240" w:line="240" w:lineRule="auto"/>
        <w:ind w:left="720"/>
        <w:jc w:val="both"/>
        <w:rPr>
          <w:rFonts w:ascii="Times New Roman" w:eastAsia="Garamond" w:hAnsi="Times New Roman" w:cs="Times New Roman"/>
          <w:bCs/>
          <w:sz w:val="24"/>
          <w:szCs w:val="24"/>
          <w:lang w:val="en-US"/>
        </w:rPr>
      </w:pPr>
      <w:r w:rsidRPr="00203241">
        <w:rPr>
          <w:rFonts w:ascii="Times New Roman" w:eastAsia="Garamond" w:hAnsi="Times New Roman" w:cs="Times New Roman"/>
          <w:bCs/>
          <w:sz w:val="24"/>
          <w:szCs w:val="24"/>
          <w:lang w:val="en-US"/>
        </w:rPr>
        <w:t>At [the research department] we’re a little bit more idealistic and academic. We do believe that poverty among children should be measured in a child-centric way, and so everybody should be investing their resources in coming up with a child-centric measure that makes sense to their country and not just collating the share of children living in MPI poor households (UNICEF1).</w:t>
      </w:r>
    </w:p>
    <w:p w14:paraId="546F94E2"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i/>
          <w:sz w:val="24"/>
          <w:szCs w:val="24"/>
        </w:rPr>
      </w:pPr>
      <w:r w:rsidRPr="00203241">
        <w:rPr>
          <w:rFonts w:ascii="Times New Roman" w:hAnsi="Times New Roman" w:cs="Times New Roman"/>
          <w:sz w:val="24"/>
          <w:szCs w:val="24"/>
        </w:rPr>
        <w:t xml:space="preserve">The approach of UNICEF […] would be that only individualised level indicators should be included in the measure. And there are other things that are very important for children’s wellbeing that is household-level indicators. By nature, by the way, they’re constructed. So those, we should exclude them from the measure. And that’s where I think the Bank is a bit more, yeah are you sure? Because if they don’t have good access to sanitation at a household level should you or not? And I think we have an agreement in some but that’s an interesting thing to discuss (WorldBank2). </w:t>
      </w:r>
    </w:p>
    <w:p w14:paraId="57AF9052" w14:textId="77777777"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The epistemic value of measures was influenced by the practices of ‘advocacy’. The interviewees regarded advocacy as strategically necessary but they also highlighted how it could be at odds with the epistemic values of measures. Many interviewees discussed the risks involved in advocating for specific measures, as it required inflating the perceivably positive qualities and ignoring some of the methodological issues of the measures:</w:t>
      </w:r>
    </w:p>
    <w:p w14:paraId="05407B0D"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lastRenderedPageBreak/>
        <w:t>To become that leader [in the field] you are also then an advocate of [the measure] in some ways. And I think obviously in the ‘90s or in the early years of the consumption-based measure, the World Bank was an advocate for that measure. Now, I don’t think you read advocacy of that measure in our publications. […] I hope a much more descriptive discussion of it. And I think we publish a lot of work on criticisms of it, weaknesses of it (WorldBank11).</w:t>
      </w:r>
    </w:p>
    <w:p w14:paraId="15BD4C5C" w14:textId="212B58CB"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As indicated in the quote, multiple competing indicators risked leading to methodological dogmatism as the strengths of the measures were exacerbated. Hence, the KC was leading to increasingly antagonistic relationships between actors and to a simplification of the debate over the epistemic qualities of the indicator which, in turn, foregrounded the importance of the political value of measurement. </w:t>
      </w:r>
    </w:p>
    <w:p w14:paraId="1A272676" w14:textId="77777777" w:rsidR="00E107B9" w:rsidRPr="00203241" w:rsidRDefault="00E107B9" w:rsidP="00E107B9">
      <w:pPr>
        <w:keepNext/>
        <w:keepLines/>
        <w:numPr>
          <w:ilvl w:val="2"/>
          <w:numId w:val="2"/>
        </w:numPr>
        <w:spacing w:before="40" w:after="240"/>
        <w:outlineLvl w:val="1"/>
        <w:rPr>
          <w:rFonts w:ascii="Times New Roman" w:hAnsi="Times New Roman" w:cs="Times New Roman"/>
          <w:b/>
          <w:sz w:val="24"/>
          <w:szCs w:val="24"/>
        </w:rPr>
      </w:pPr>
      <w:r w:rsidRPr="00203241">
        <w:rPr>
          <w:rFonts w:ascii="Times New Roman" w:eastAsiaTheme="majorEastAsia" w:hAnsi="Times New Roman" w:cs="Times New Roman"/>
          <w:b/>
          <w:sz w:val="24"/>
          <w:szCs w:val="24"/>
        </w:rPr>
        <w:t xml:space="preserve">Political value </w:t>
      </w:r>
    </w:p>
    <w:p w14:paraId="6AFB49D1" w14:textId="77777777" w:rsidR="00E107B9"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Assigning political value to an indicator was aligned with its epistemic value as, in the process of quantification, “the political and the moral become factual and calculable” (</w:t>
      </w:r>
      <w:r w:rsidRPr="00203241">
        <w:rPr>
          <w:rFonts w:ascii="Times New Roman" w:eastAsia="Garamond" w:hAnsi="Times New Roman" w:cs="Times New Roman"/>
          <w:sz w:val="24"/>
          <w:szCs w:val="24"/>
          <w:lang w:val="en-US"/>
        </w:rPr>
        <w:t>Desroisères</w:t>
      </w:r>
      <w:r w:rsidRPr="00203241">
        <w:rPr>
          <w:rFonts w:ascii="Times New Roman" w:hAnsi="Times New Roman" w:cs="Times New Roman"/>
          <w:iCs/>
          <w:sz w:val="24"/>
          <w:szCs w:val="24"/>
        </w:rPr>
        <w:t>, 2015</w:t>
      </w:r>
      <w:r>
        <w:rPr>
          <w:rFonts w:ascii="Times New Roman" w:hAnsi="Times New Roman" w:cs="Times New Roman"/>
          <w:sz w:val="24"/>
          <w:szCs w:val="24"/>
        </w:rPr>
        <w:t>, p.</w:t>
      </w:r>
      <w:r w:rsidRPr="00203241">
        <w:rPr>
          <w:rFonts w:ascii="Times New Roman" w:hAnsi="Times New Roman" w:cs="Times New Roman"/>
          <w:sz w:val="24"/>
          <w:szCs w:val="24"/>
        </w:rPr>
        <w:t>345). Consequently, indicators in political spaces are powerful as they govern implicitly through their appeal to neutrality and objectivity (Porter, 1995). In our controversy, these political qualities of numbers became openly debated and promoted. Through a focus on practices of valuation, the political and moral aspects of measurement were therefore brought to the foreground.</w:t>
      </w:r>
    </w:p>
    <w:p w14:paraId="454BC5AB" w14:textId="017C1B6D" w:rsidR="00E107B9" w:rsidRPr="00203241" w:rsidRDefault="00E107B9" w:rsidP="00E10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Political considerations were evident in the way the experts discussed the usability of the measures. The proponents of MPI and MODA claimed </w:t>
      </w:r>
      <w:r w:rsidR="005D554F">
        <w:rPr>
          <w:rFonts w:ascii="Times New Roman" w:hAnsi="Times New Roman" w:cs="Times New Roman"/>
          <w:sz w:val="24"/>
          <w:szCs w:val="24"/>
        </w:rPr>
        <w:t xml:space="preserve">that </w:t>
      </w:r>
      <w:r w:rsidRPr="00203241">
        <w:rPr>
          <w:rFonts w:ascii="Times New Roman" w:hAnsi="Times New Roman" w:cs="Times New Roman"/>
          <w:sz w:val="24"/>
          <w:szCs w:val="24"/>
        </w:rPr>
        <w:t>their measures are effective as they promote inter-sectoral approaches to social protection, as the measurement itself is steering different government department</w:t>
      </w:r>
      <w:r w:rsidR="005D554F">
        <w:rPr>
          <w:rFonts w:ascii="Times New Roman" w:hAnsi="Times New Roman" w:cs="Times New Roman"/>
          <w:sz w:val="24"/>
          <w:szCs w:val="24"/>
        </w:rPr>
        <w:t>s</w:t>
      </w:r>
      <w:r w:rsidRPr="00203241">
        <w:rPr>
          <w:rFonts w:ascii="Times New Roman" w:hAnsi="Times New Roman" w:cs="Times New Roman"/>
          <w:sz w:val="24"/>
          <w:szCs w:val="24"/>
        </w:rPr>
        <w:t xml:space="preserve"> to work together for comprehensive solutions. Contrariwise, the proponents of monetary measures linked their political value to steering economic tools aimed at increasing economic growth. For example: </w:t>
      </w:r>
    </w:p>
    <w:p w14:paraId="06EB1CF2"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A measure like MPI is not particularly useful for guiding policy. It’s good for advocacy, for raising issues that wellbeing is beyond just whatever can be aggregated through prices in the market. [The monetary measures] basically translate quite naturally through policies around growth and equity. They also focus policymakers on ‘OK you care about poverty, what are you going to do to raise the resources of the 12% of your country that are just living on below $1.90 a day?’. And then that nationally leads into: ‘OK, what’s the basis of production for these households? What are the transfers they receive? What are the constraints they have for investment? What are the risks they face?’ Blah-blah-blah like the whole suite of economic tools around choice and resource allocation (WorldBank12).</w:t>
      </w:r>
    </w:p>
    <w:p w14:paraId="04C23201" w14:textId="10AA3633"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lastRenderedPageBreak/>
        <w:t>Furthermore, when promoting their measures to the country governments, the experts made claims regarding their political value. For example, the proponents of multidimensional poverty measurement highlighted their quick response time to changes in existing policy programmes</w:t>
      </w:r>
      <w:r w:rsidR="005D554F">
        <w:rPr>
          <w:rFonts w:ascii="Times New Roman" w:hAnsi="Times New Roman" w:cs="Times New Roman"/>
          <w:sz w:val="24"/>
          <w:szCs w:val="24"/>
        </w:rPr>
        <w:t>, which opened up opportunities</w:t>
      </w:r>
      <w:r w:rsidRPr="00203241">
        <w:rPr>
          <w:rFonts w:ascii="Times New Roman" w:hAnsi="Times New Roman" w:cs="Times New Roman"/>
          <w:sz w:val="24"/>
          <w:szCs w:val="24"/>
        </w:rPr>
        <w:t xml:space="preserve"> for claiming political wins:</w:t>
      </w:r>
    </w:p>
    <w:p w14:paraId="29050BC8"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color w:val="000000"/>
          <w:sz w:val="24"/>
          <w:szCs w:val="24"/>
        </w:rPr>
        <w:t xml:space="preserve">For politics, they need to be able to show their genuine results and you need to </w:t>
      </w:r>
      <w:r>
        <w:rPr>
          <w:rFonts w:ascii="Times New Roman" w:hAnsi="Times New Roman" w:cs="Times New Roman"/>
          <w:color w:val="000000"/>
          <w:sz w:val="24"/>
          <w:szCs w:val="24"/>
        </w:rPr>
        <w:t xml:space="preserve">do that </w:t>
      </w:r>
      <w:r w:rsidRPr="00203241">
        <w:rPr>
          <w:rFonts w:ascii="Times New Roman" w:hAnsi="Times New Roman" w:cs="Times New Roman"/>
          <w:color w:val="000000"/>
          <w:sz w:val="24"/>
          <w:szCs w:val="24"/>
        </w:rPr>
        <w:t xml:space="preserve">within an election cycle. And if you measure monetary poverty and you put a child in school, you need to wait until this child finished the school and enter the job market until you see the results. But within the MPI putting a child in school is something you measure and that in itself leads to an MPI going down. It is making visible policy improvements in people‘s lives that may not be captured for a long time or ever in the income property </w:t>
      </w:r>
      <w:r w:rsidRPr="00203241">
        <w:rPr>
          <w:rFonts w:ascii="Times New Roman" w:hAnsi="Times New Roman" w:cs="Times New Roman"/>
          <w:sz w:val="24"/>
          <w:szCs w:val="24"/>
        </w:rPr>
        <w:t>(OPHI2).</w:t>
      </w:r>
    </w:p>
    <w:p w14:paraId="41A1D312" w14:textId="22E3336F"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As such, when speaking to some groups of policy audiences, the interviewees prioritised the political worth of the measurement. Therefore, the valuation of indicators as political tools was made explicit in the situa</w:t>
      </w:r>
      <w:r w:rsidR="005D554F">
        <w:rPr>
          <w:rFonts w:ascii="Times New Roman" w:hAnsi="Times New Roman" w:cs="Times New Roman"/>
          <w:sz w:val="24"/>
          <w:szCs w:val="24"/>
        </w:rPr>
        <w:t>tion of competition ignited by the</w:t>
      </w:r>
      <w:r w:rsidRPr="00203241">
        <w:rPr>
          <w:rFonts w:ascii="Times New Roman" w:hAnsi="Times New Roman" w:cs="Times New Roman"/>
          <w:sz w:val="24"/>
          <w:szCs w:val="24"/>
        </w:rPr>
        <w:t xml:space="preserve"> KC. </w:t>
      </w:r>
    </w:p>
    <w:p w14:paraId="782B2417" w14:textId="77777777" w:rsidR="00E107B9" w:rsidRPr="00E107B9" w:rsidRDefault="00E107B9" w:rsidP="00E107B9">
      <w:pPr>
        <w:keepNext/>
        <w:keepLines/>
        <w:numPr>
          <w:ilvl w:val="2"/>
          <w:numId w:val="2"/>
        </w:numPr>
        <w:spacing w:before="40" w:after="240"/>
        <w:outlineLvl w:val="1"/>
        <w:rPr>
          <w:rFonts w:ascii="Times New Roman" w:eastAsiaTheme="majorEastAsia" w:hAnsi="Times New Roman" w:cs="Times New Roman"/>
          <w:b/>
          <w:sz w:val="24"/>
          <w:szCs w:val="24"/>
        </w:rPr>
      </w:pPr>
      <w:r w:rsidRPr="00203241">
        <w:rPr>
          <w:rFonts w:ascii="Times New Roman" w:eastAsiaTheme="majorEastAsia" w:hAnsi="Times New Roman" w:cs="Times New Roman"/>
          <w:b/>
          <w:sz w:val="24"/>
          <w:szCs w:val="24"/>
        </w:rPr>
        <w:t>Strategic value</w:t>
      </w:r>
      <w:r w:rsidRPr="00E107B9">
        <w:rPr>
          <w:rFonts w:ascii="Times New Roman" w:eastAsiaTheme="majorEastAsia" w:hAnsi="Times New Roman" w:cs="Times New Roman"/>
          <w:b/>
          <w:sz w:val="24"/>
          <w:szCs w:val="24"/>
        </w:rPr>
        <w:t xml:space="preserve">  </w:t>
      </w:r>
    </w:p>
    <w:p w14:paraId="2A147C4B" w14:textId="5B946421"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The controversy and the mounting tensions </w:t>
      </w:r>
      <w:r w:rsidR="00613231">
        <w:rPr>
          <w:rFonts w:ascii="Times New Roman" w:hAnsi="Times New Roman" w:cs="Times New Roman"/>
          <w:sz w:val="24"/>
          <w:szCs w:val="24"/>
        </w:rPr>
        <w:t>among</w:t>
      </w:r>
      <w:r w:rsidRPr="00203241">
        <w:rPr>
          <w:rFonts w:ascii="Times New Roman" w:hAnsi="Times New Roman" w:cs="Times New Roman"/>
          <w:sz w:val="24"/>
          <w:szCs w:val="24"/>
        </w:rPr>
        <w:t xml:space="preserve"> the epistemic and </w:t>
      </w:r>
      <w:r w:rsidR="00613231">
        <w:rPr>
          <w:rFonts w:ascii="Times New Roman" w:hAnsi="Times New Roman" w:cs="Times New Roman"/>
          <w:sz w:val="24"/>
          <w:szCs w:val="24"/>
        </w:rPr>
        <w:t xml:space="preserve">the </w:t>
      </w:r>
      <w:r w:rsidRPr="00203241">
        <w:rPr>
          <w:rFonts w:ascii="Times New Roman" w:hAnsi="Times New Roman" w:cs="Times New Roman"/>
          <w:sz w:val="24"/>
          <w:szCs w:val="24"/>
        </w:rPr>
        <w:t>political dimensions of poverty measurement resulted in increasingly strategic responses by the IOs. In particular, they adapted their existing strategies to valuation and introduced new ones to challenge other key players in the poverty measurement field. The experts aimed to influence the assessment criteria of specific measures by the country-level agencies in ways that benefited their own indicators. In this context, methodological robustness and political usefulness were supported by valuing the forms of measurements that were significantly different. For example:</w:t>
      </w:r>
    </w:p>
    <w:p w14:paraId="6EF11F7C"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t>As we were having that discussion [on multidimensional poverty] we obviously were very aware that, unlike the monetary space where I think we’ve been leaders in the field as an institution, on the non-monetary space there’s lots happening already. There’s OPHI, UNDP, there’s lots of people that are already in that space doing very good work, so our thinking was: ‘Either we are adding value to that conversation or it doesn’t really make sense for us to come up with yet another multidimensional poverty measure that doesn’t bring anything new to the conversation’ (WorldBank8).</w:t>
      </w:r>
    </w:p>
    <w:p w14:paraId="3351DADF" w14:textId="6A144FA5"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As highlighted in the quote, the interviewees from the World Bank justified entering the multidimensional space by offering a new perspective on measurement. The experts working within all three organisations perceived their measures to be significantly different from other organisations. At the same time, this differentiation was very closely aligned with the priorities and specific cultur</w:t>
      </w:r>
      <w:r w:rsidR="008A214A">
        <w:rPr>
          <w:rFonts w:ascii="Times New Roman" w:hAnsi="Times New Roman" w:cs="Times New Roman"/>
          <w:sz w:val="24"/>
          <w:szCs w:val="24"/>
        </w:rPr>
        <w:t>es of measurement within the IO</w:t>
      </w:r>
      <w:r w:rsidRPr="00203241">
        <w:rPr>
          <w:rFonts w:ascii="Times New Roman" w:hAnsi="Times New Roman" w:cs="Times New Roman"/>
          <w:sz w:val="24"/>
          <w:szCs w:val="24"/>
        </w:rPr>
        <w:t xml:space="preserve">. The World Bank’s claims to value were based on integrating the monetary dimension into the measurement: </w:t>
      </w:r>
    </w:p>
    <w:p w14:paraId="66467C8B" w14:textId="77777777" w:rsidR="00E107B9" w:rsidRPr="00203241" w:rsidRDefault="00E107B9" w:rsidP="00E10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ind w:left="720"/>
        <w:jc w:val="both"/>
        <w:rPr>
          <w:rFonts w:ascii="Times New Roman" w:hAnsi="Times New Roman" w:cs="Times New Roman"/>
          <w:sz w:val="24"/>
          <w:szCs w:val="24"/>
        </w:rPr>
      </w:pPr>
      <w:r w:rsidRPr="00203241">
        <w:rPr>
          <w:rFonts w:ascii="Times New Roman" w:hAnsi="Times New Roman" w:cs="Times New Roman"/>
          <w:sz w:val="24"/>
          <w:szCs w:val="24"/>
        </w:rPr>
        <w:lastRenderedPageBreak/>
        <w:t>We decided that there were two things where we could add value and enrich what was already quite a sophisticated conversation. The first one was by just looking at what others were doing. […] Because we are an institution that has a monetary goal we thought: ‘OK, that wouldn’t make a lot of sense’. […] So, it was clear that the monetary extreme poverty metric had to be part of the multidimensional package and that’s different from what others are doing and it’s driven by the fact that we still wanted to reaffirm that that was our main goal. Then, the other area where we could add value was by exploring some dimensions that others hadn’t explored and that we were only able to do for a very small number of countries. I think we did some interesting work in looking at issues having to do with violence and with risk to climate shocks, etc. (WorldBank10).</w:t>
      </w:r>
    </w:p>
    <w:p w14:paraId="3924D10A" w14:textId="77777777" w:rsidR="00E107B9" w:rsidRPr="00203241" w:rsidRDefault="00E107B9" w:rsidP="00E107B9">
      <w:pPr>
        <w:widowControl w:val="0"/>
        <w:autoSpaceDE w:val="0"/>
        <w:autoSpaceDN w:val="0"/>
        <w:adjustRightInd w:val="0"/>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Therefore, the value of the poverty measure could not be set based on the epistemic and political criteria only, but also it had to be made in a </w:t>
      </w:r>
      <w:r w:rsidRPr="00203241">
        <w:rPr>
          <w:rFonts w:ascii="Times New Roman" w:hAnsi="Times New Roman" w:cs="Times New Roman"/>
          <w:i/>
          <w:sz w:val="24"/>
          <w:szCs w:val="24"/>
        </w:rPr>
        <w:t>relational</w:t>
      </w:r>
      <w:r w:rsidRPr="00203241">
        <w:rPr>
          <w:rFonts w:ascii="Times New Roman" w:hAnsi="Times New Roman" w:cs="Times New Roman"/>
          <w:sz w:val="24"/>
          <w:szCs w:val="24"/>
        </w:rPr>
        <w:t xml:space="preserve"> way – by referring to other players and prioritising the criteria of assessment which could make organisation’s approaches more successful. </w:t>
      </w:r>
    </w:p>
    <w:p w14:paraId="54743FBA" w14:textId="369F88F4" w:rsidR="00E107B9" w:rsidRPr="00203241" w:rsidRDefault="00E107B9" w:rsidP="00E107B9">
      <w:pPr>
        <w:spacing w:after="240" w:line="360" w:lineRule="auto"/>
        <w:jc w:val="both"/>
        <w:rPr>
          <w:rFonts w:ascii="Times New Roman" w:hAnsi="Times New Roman" w:cs="Times New Roman"/>
          <w:sz w:val="24"/>
          <w:szCs w:val="24"/>
        </w:rPr>
      </w:pPr>
      <w:r w:rsidRPr="00203241">
        <w:rPr>
          <w:rFonts w:ascii="Times New Roman" w:hAnsi="Times New Roman" w:cs="Times New Roman"/>
          <w:sz w:val="24"/>
          <w:szCs w:val="24"/>
        </w:rPr>
        <w:t xml:space="preserve">Building on these insights, in the following section we tease out the theoretical implications of the KC in the field of global poverty measurement. In particular, we foreground how the KC played a crucial governance function in this field and introduce the notion of ‘governing by controversy’. Secondly, we explore the KC’s generative role in enticing and sustaining social processes of valuation and theorize how KC can be seen as </w:t>
      </w:r>
      <w:r w:rsidR="00640690">
        <w:rPr>
          <w:rFonts w:ascii="Times New Roman" w:hAnsi="Times New Roman" w:cs="Times New Roman"/>
          <w:sz w:val="24"/>
          <w:szCs w:val="24"/>
        </w:rPr>
        <w:t>‘</w:t>
      </w:r>
      <w:r w:rsidRPr="00203241">
        <w:rPr>
          <w:rFonts w:ascii="Times New Roman" w:hAnsi="Times New Roman" w:cs="Times New Roman"/>
          <w:sz w:val="24"/>
          <w:szCs w:val="24"/>
        </w:rPr>
        <w:t xml:space="preserve">engines </w:t>
      </w:r>
      <w:r w:rsidR="00640690">
        <w:rPr>
          <w:rFonts w:ascii="Times New Roman" w:hAnsi="Times New Roman" w:cs="Times New Roman"/>
          <w:sz w:val="24"/>
          <w:szCs w:val="24"/>
        </w:rPr>
        <w:t>of</w:t>
      </w:r>
      <w:r w:rsidRPr="00203241">
        <w:rPr>
          <w:rFonts w:ascii="Times New Roman" w:hAnsi="Times New Roman" w:cs="Times New Roman"/>
          <w:sz w:val="24"/>
          <w:szCs w:val="24"/>
        </w:rPr>
        <w:t xml:space="preserve"> valuation</w:t>
      </w:r>
      <w:r w:rsidR="00640690">
        <w:rPr>
          <w:rFonts w:ascii="Times New Roman" w:hAnsi="Times New Roman" w:cs="Times New Roman"/>
          <w:sz w:val="24"/>
          <w:szCs w:val="24"/>
        </w:rPr>
        <w:t>’</w:t>
      </w:r>
      <w:r w:rsidRPr="00203241">
        <w:rPr>
          <w:rFonts w:ascii="Times New Roman" w:hAnsi="Times New Roman" w:cs="Times New Roman"/>
          <w:sz w:val="24"/>
          <w:szCs w:val="24"/>
        </w:rPr>
        <w:t>. In so doing, we expand the remit of the notion of KC by exploring its governance function and unpacking some of its key strategic and organizational aspects that are thus far undertheorized.</w:t>
      </w:r>
    </w:p>
    <w:p w14:paraId="0ABDAD46" w14:textId="77777777" w:rsidR="00E107B9" w:rsidRPr="00373C52" w:rsidRDefault="00E107B9" w:rsidP="00E107B9">
      <w:pPr>
        <w:numPr>
          <w:ilvl w:val="0"/>
          <w:numId w:val="2"/>
        </w:numPr>
        <w:spacing w:line="360" w:lineRule="auto"/>
        <w:contextualSpacing/>
        <w:rPr>
          <w:rFonts w:ascii="Times New Roman" w:hAnsi="Times New Roman" w:cs="Times New Roman"/>
          <w:b/>
          <w:sz w:val="24"/>
          <w:szCs w:val="24"/>
        </w:rPr>
      </w:pPr>
      <w:r w:rsidRPr="00373C52">
        <w:rPr>
          <w:rFonts w:ascii="Times New Roman" w:hAnsi="Times New Roman" w:cs="Times New Roman"/>
          <w:b/>
          <w:sz w:val="24"/>
          <w:szCs w:val="24"/>
        </w:rPr>
        <w:t>Concluding discussion</w:t>
      </w:r>
    </w:p>
    <w:p w14:paraId="29ACFCB8" w14:textId="77777777" w:rsidR="00E107B9" w:rsidRPr="00373C52" w:rsidRDefault="00E107B9" w:rsidP="002619CA">
      <w:pPr>
        <w:numPr>
          <w:ilvl w:val="1"/>
          <w:numId w:val="2"/>
        </w:numPr>
        <w:spacing w:line="480" w:lineRule="auto"/>
        <w:contextualSpacing/>
        <w:rPr>
          <w:rFonts w:ascii="Times New Roman" w:hAnsi="Times New Roman" w:cs="Times New Roman"/>
          <w:i/>
          <w:sz w:val="24"/>
          <w:szCs w:val="24"/>
        </w:rPr>
      </w:pPr>
      <w:r w:rsidRPr="00373C52">
        <w:rPr>
          <w:rFonts w:ascii="Times New Roman" w:hAnsi="Times New Roman" w:cs="Times New Roman"/>
          <w:i/>
          <w:sz w:val="24"/>
          <w:szCs w:val="24"/>
        </w:rPr>
        <w:t>Governing by controversy</w:t>
      </w:r>
    </w:p>
    <w:p w14:paraId="6C67F1B6" w14:textId="4BBC8E72" w:rsidR="00E107B9" w:rsidRPr="00373C52"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t xml:space="preserve">Our empirical study shows how the controversy came to structure the global space of poverty measurement and enables us to expand remit of the notion of </w:t>
      </w:r>
      <w:r>
        <w:rPr>
          <w:rFonts w:ascii="Times New Roman" w:hAnsi="Times New Roman" w:cs="Times New Roman"/>
          <w:sz w:val="24"/>
          <w:szCs w:val="24"/>
        </w:rPr>
        <w:t>KC</w:t>
      </w:r>
      <w:r w:rsidRPr="00373C52">
        <w:rPr>
          <w:rFonts w:ascii="Times New Roman" w:hAnsi="Times New Roman" w:cs="Times New Roman"/>
          <w:sz w:val="24"/>
          <w:szCs w:val="24"/>
        </w:rPr>
        <w:t xml:space="preserve">. Extant literature has acknowledged that controversies are generative political events (Callon, 1998; Whatmore, 2009; </w:t>
      </w:r>
      <w:r>
        <w:rPr>
          <w:rFonts w:ascii="Times New Roman" w:eastAsia="Garamond" w:hAnsi="Times New Roman" w:cs="Times New Roman"/>
          <w:sz w:val="24"/>
          <w:szCs w:val="24"/>
          <w:lang w:val="en-US" w:eastAsia="en-GB"/>
        </w:rPr>
        <w:t xml:space="preserve">Landström </w:t>
      </w:r>
      <w:r w:rsidRPr="00373C52">
        <w:rPr>
          <w:rFonts w:ascii="Times New Roman" w:hAnsi="Times New Roman" w:cs="Times New Roman"/>
          <w:sz w:val="24"/>
          <w:szCs w:val="24"/>
        </w:rPr>
        <w:t>et al</w:t>
      </w:r>
      <w:r>
        <w:rPr>
          <w:rFonts w:ascii="Times New Roman" w:hAnsi="Times New Roman" w:cs="Times New Roman"/>
          <w:sz w:val="24"/>
          <w:szCs w:val="24"/>
        </w:rPr>
        <w:t>.</w:t>
      </w:r>
      <w:r w:rsidRPr="00373C52">
        <w:rPr>
          <w:rFonts w:ascii="Times New Roman" w:hAnsi="Times New Roman" w:cs="Times New Roman"/>
          <w:sz w:val="24"/>
          <w:szCs w:val="24"/>
        </w:rPr>
        <w:t>, 2011; Bosworth, 2017)</w:t>
      </w:r>
      <w:r>
        <w:rPr>
          <w:rFonts w:ascii="Times New Roman" w:hAnsi="Times New Roman" w:cs="Times New Roman"/>
          <w:sz w:val="24"/>
          <w:szCs w:val="24"/>
        </w:rPr>
        <w:t>. H</w:t>
      </w:r>
      <w:r w:rsidRPr="00373C52">
        <w:rPr>
          <w:rFonts w:ascii="Times New Roman" w:hAnsi="Times New Roman" w:cs="Times New Roman"/>
          <w:sz w:val="24"/>
          <w:szCs w:val="24"/>
        </w:rPr>
        <w:t>owever, foregrounding</w:t>
      </w:r>
      <w:r>
        <w:rPr>
          <w:rFonts w:ascii="Times New Roman" w:hAnsi="Times New Roman" w:cs="Times New Roman"/>
          <w:sz w:val="24"/>
          <w:szCs w:val="24"/>
        </w:rPr>
        <w:t xml:space="preserve"> primarily</w:t>
      </w:r>
      <w:r w:rsidRPr="00373C52">
        <w:rPr>
          <w:rFonts w:ascii="Times New Roman" w:hAnsi="Times New Roman" w:cs="Times New Roman"/>
          <w:sz w:val="24"/>
          <w:szCs w:val="24"/>
        </w:rPr>
        <w:t xml:space="preserve"> their epistemic and political (Sarewitz, 2001) aspects, it has provided little insights on how </w:t>
      </w:r>
      <w:r>
        <w:rPr>
          <w:rFonts w:ascii="Times New Roman" w:hAnsi="Times New Roman" w:cs="Times New Roman"/>
          <w:sz w:val="24"/>
          <w:szCs w:val="24"/>
        </w:rPr>
        <w:t>KC</w:t>
      </w:r>
      <w:r w:rsidRPr="00373C52">
        <w:rPr>
          <w:rFonts w:ascii="Times New Roman" w:hAnsi="Times New Roman" w:cs="Times New Roman"/>
          <w:sz w:val="24"/>
          <w:szCs w:val="24"/>
        </w:rPr>
        <w:t xml:space="preserve"> can govern expertise-driven organizational spaces. Not only does the literature tend to focus on individual controversies and their related policy responses (Jasanoff, 1997; Barry, 2012), but it </w:t>
      </w:r>
      <w:r>
        <w:rPr>
          <w:rFonts w:ascii="Times New Roman" w:hAnsi="Times New Roman" w:cs="Times New Roman"/>
          <w:sz w:val="24"/>
          <w:szCs w:val="24"/>
        </w:rPr>
        <w:t>depicts</w:t>
      </w:r>
      <w:r w:rsidRPr="00373C52">
        <w:rPr>
          <w:rFonts w:ascii="Times New Roman" w:hAnsi="Times New Roman" w:cs="Times New Roman"/>
          <w:sz w:val="24"/>
          <w:szCs w:val="24"/>
        </w:rPr>
        <w:t xml:space="preserve"> controversies as ‘one-off’ events that constitute the exception rather than the norm in specific epistemic communities. </w:t>
      </w:r>
      <w:r>
        <w:rPr>
          <w:rFonts w:ascii="Times New Roman" w:hAnsi="Times New Roman" w:cs="Times New Roman"/>
          <w:sz w:val="24"/>
          <w:szCs w:val="24"/>
        </w:rPr>
        <w:t>I</w:t>
      </w:r>
      <w:r w:rsidRPr="00373C52">
        <w:rPr>
          <w:rFonts w:ascii="Times New Roman" w:hAnsi="Times New Roman" w:cs="Times New Roman"/>
          <w:sz w:val="24"/>
          <w:szCs w:val="24"/>
        </w:rPr>
        <w:t xml:space="preserve">n our setting, the controversy became part and parcel of governing </w:t>
      </w:r>
      <w:r w:rsidRPr="00FF7E69">
        <w:rPr>
          <w:rFonts w:ascii="Times New Roman" w:hAnsi="Times New Roman" w:cs="Times New Roman"/>
          <w:sz w:val="24"/>
          <w:szCs w:val="24"/>
        </w:rPr>
        <w:t>global poverty measurement</w:t>
      </w:r>
      <w:r>
        <w:rPr>
          <w:rFonts w:ascii="Times New Roman" w:hAnsi="Times New Roman" w:cs="Times New Roman"/>
          <w:sz w:val="24"/>
          <w:szCs w:val="24"/>
        </w:rPr>
        <w:t xml:space="preserve">, which was profoundly impacted by the processes detailed below. </w:t>
      </w:r>
    </w:p>
    <w:p w14:paraId="6AB0CF45" w14:textId="758564F9" w:rsidR="00E107B9" w:rsidRPr="00373C52"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lastRenderedPageBreak/>
        <w:t xml:space="preserve">First, the KC shaped the focus and the indicator portfolio </w:t>
      </w:r>
      <w:r>
        <w:rPr>
          <w:rFonts w:ascii="Times New Roman" w:hAnsi="Times New Roman" w:cs="Times New Roman"/>
          <w:sz w:val="24"/>
          <w:szCs w:val="24"/>
        </w:rPr>
        <w:t>of</w:t>
      </w:r>
      <w:r w:rsidRPr="00373C52">
        <w:rPr>
          <w:rFonts w:ascii="Times New Roman" w:hAnsi="Times New Roman" w:cs="Times New Roman"/>
          <w:sz w:val="24"/>
          <w:szCs w:val="24"/>
        </w:rPr>
        <w:t xml:space="preserve"> the IOs. Our interviewees highlighted how the disputed boundaries of the </w:t>
      </w:r>
      <w:r>
        <w:rPr>
          <w:rFonts w:ascii="Times New Roman" w:hAnsi="Times New Roman" w:cs="Times New Roman"/>
          <w:sz w:val="24"/>
          <w:szCs w:val="24"/>
        </w:rPr>
        <w:t>KC</w:t>
      </w:r>
      <w:r w:rsidRPr="00373C52">
        <w:rPr>
          <w:rFonts w:ascii="Times New Roman" w:hAnsi="Times New Roman" w:cs="Times New Roman"/>
          <w:sz w:val="24"/>
          <w:szCs w:val="24"/>
        </w:rPr>
        <w:t xml:space="preserve"> brought to the forefront the need for legitimation and ‘market penetration’ strategies. This tension </w:t>
      </w:r>
      <w:r>
        <w:rPr>
          <w:rFonts w:ascii="Times New Roman" w:hAnsi="Times New Roman" w:cs="Times New Roman"/>
          <w:sz w:val="24"/>
          <w:szCs w:val="24"/>
        </w:rPr>
        <w:t>pushed the IOs to adopt the following strategies</w:t>
      </w:r>
      <w:r w:rsidRPr="00373C52">
        <w:rPr>
          <w:rFonts w:ascii="Times New Roman" w:hAnsi="Times New Roman" w:cs="Times New Roman"/>
          <w:sz w:val="24"/>
          <w:szCs w:val="24"/>
        </w:rPr>
        <w:t xml:space="preserve">. Different IOs could either consolidate their indicators to become ‘market leaders’ in a specific niche – a strategy constitutively open to the risk of losing field advantage in the implementation of other measures. Alternately, other IOs – </w:t>
      </w:r>
      <w:r>
        <w:rPr>
          <w:rFonts w:ascii="Times New Roman" w:hAnsi="Times New Roman" w:cs="Times New Roman"/>
          <w:sz w:val="24"/>
          <w:szCs w:val="24"/>
        </w:rPr>
        <w:t>e.g.</w:t>
      </w:r>
      <w:r w:rsidR="002619CA">
        <w:rPr>
          <w:rFonts w:ascii="Times New Roman" w:hAnsi="Times New Roman" w:cs="Times New Roman"/>
          <w:sz w:val="24"/>
          <w:szCs w:val="24"/>
        </w:rPr>
        <w:t xml:space="preserve"> World Bank – tackled </w:t>
      </w:r>
      <w:r w:rsidRPr="00373C52">
        <w:rPr>
          <w:rFonts w:ascii="Times New Roman" w:hAnsi="Times New Roman" w:cs="Times New Roman"/>
          <w:sz w:val="24"/>
          <w:szCs w:val="24"/>
        </w:rPr>
        <w:t xml:space="preserve">the controversy by expanding their indicator portfolio and risking the focus of their message and their leadership in monetary approaches. Hence, the </w:t>
      </w:r>
      <w:r w:rsidR="002619CA">
        <w:rPr>
          <w:rFonts w:ascii="Times New Roman" w:hAnsi="Times New Roman" w:cs="Times New Roman"/>
          <w:sz w:val="24"/>
          <w:szCs w:val="24"/>
        </w:rPr>
        <w:t>KC</w:t>
      </w:r>
      <w:r w:rsidRPr="00373C52">
        <w:rPr>
          <w:rFonts w:ascii="Times New Roman" w:hAnsi="Times New Roman" w:cs="Times New Roman"/>
          <w:sz w:val="24"/>
          <w:szCs w:val="24"/>
        </w:rPr>
        <w:t xml:space="preserve"> </w:t>
      </w:r>
      <w:r>
        <w:rPr>
          <w:rFonts w:ascii="Times New Roman" w:hAnsi="Times New Roman" w:cs="Times New Roman"/>
          <w:sz w:val="24"/>
          <w:szCs w:val="24"/>
        </w:rPr>
        <w:t>played a crucial role in shaping</w:t>
      </w:r>
      <w:r w:rsidRPr="00373C52">
        <w:rPr>
          <w:rFonts w:ascii="Times New Roman" w:hAnsi="Times New Roman" w:cs="Times New Roman"/>
          <w:sz w:val="24"/>
          <w:szCs w:val="24"/>
        </w:rPr>
        <w:t xml:space="preserve"> how measurement approaches come to be perceived as legitimate in the field and put </w:t>
      </w:r>
      <w:r>
        <w:rPr>
          <w:rFonts w:ascii="Times New Roman" w:hAnsi="Times New Roman" w:cs="Times New Roman"/>
          <w:sz w:val="24"/>
          <w:szCs w:val="24"/>
        </w:rPr>
        <w:t>isomorphic</w:t>
      </w:r>
      <w:r w:rsidRPr="00373C52">
        <w:rPr>
          <w:rFonts w:ascii="Times New Roman" w:hAnsi="Times New Roman" w:cs="Times New Roman"/>
          <w:sz w:val="24"/>
          <w:szCs w:val="24"/>
        </w:rPr>
        <w:t xml:space="preserve"> pressures on IOs to </w:t>
      </w:r>
      <w:r>
        <w:rPr>
          <w:rFonts w:ascii="Times New Roman" w:hAnsi="Times New Roman" w:cs="Times New Roman"/>
          <w:sz w:val="24"/>
          <w:szCs w:val="24"/>
        </w:rPr>
        <w:t xml:space="preserve">either </w:t>
      </w:r>
      <w:r w:rsidRPr="00373C52">
        <w:rPr>
          <w:rFonts w:ascii="Times New Roman" w:hAnsi="Times New Roman" w:cs="Times New Roman"/>
          <w:sz w:val="24"/>
          <w:szCs w:val="24"/>
        </w:rPr>
        <w:t>become ‘one-indicator organizations’ with near-standard setting capacity or niche players with more ‘differentiated’ measurement portfolios. Hence, the controversy contributed to establishing legitimacy boundaries and thresholds (Rutherford &amp; Buller, 2007) to be perceived as credible organizations in the poverty measurement field</w:t>
      </w:r>
      <w:r>
        <w:rPr>
          <w:rFonts w:ascii="Times New Roman" w:hAnsi="Times New Roman" w:cs="Times New Roman"/>
          <w:sz w:val="24"/>
          <w:szCs w:val="24"/>
        </w:rPr>
        <w:t>.</w:t>
      </w:r>
      <w:r w:rsidRPr="00373C52">
        <w:rPr>
          <w:rFonts w:ascii="Times New Roman" w:hAnsi="Times New Roman" w:cs="Times New Roman"/>
          <w:sz w:val="24"/>
          <w:szCs w:val="24"/>
        </w:rPr>
        <w:t xml:space="preserve"> </w:t>
      </w:r>
    </w:p>
    <w:p w14:paraId="1C0C8986" w14:textId="1BC855D0" w:rsidR="00E107B9" w:rsidRPr="00373C52"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t xml:space="preserve">Second, the </w:t>
      </w:r>
      <w:r>
        <w:rPr>
          <w:rFonts w:ascii="Times New Roman" w:hAnsi="Times New Roman" w:cs="Times New Roman"/>
          <w:sz w:val="24"/>
          <w:szCs w:val="24"/>
        </w:rPr>
        <w:t>KC</w:t>
      </w:r>
      <w:r w:rsidRPr="00373C52">
        <w:rPr>
          <w:rFonts w:ascii="Times New Roman" w:hAnsi="Times New Roman" w:cs="Times New Roman"/>
          <w:sz w:val="24"/>
          <w:szCs w:val="24"/>
        </w:rPr>
        <w:t xml:space="preserve"> played another governance function by contributing to the creation of a</w:t>
      </w:r>
      <w:r w:rsidR="002859FA">
        <w:rPr>
          <w:rFonts w:ascii="Times New Roman" w:hAnsi="Times New Roman" w:cs="Times New Roman"/>
          <w:sz w:val="24"/>
          <w:szCs w:val="24"/>
        </w:rPr>
        <w:t xml:space="preserve"> market </w:t>
      </w:r>
      <w:r w:rsidR="002619CA">
        <w:rPr>
          <w:rFonts w:ascii="Times New Roman" w:hAnsi="Times New Roman" w:cs="Times New Roman"/>
          <w:sz w:val="24"/>
          <w:szCs w:val="24"/>
        </w:rPr>
        <w:t>of</w:t>
      </w:r>
      <w:r w:rsidR="002859FA">
        <w:rPr>
          <w:rFonts w:ascii="Times New Roman" w:hAnsi="Times New Roman" w:cs="Times New Roman"/>
          <w:sz w:val="24"/>
          <w:szCs w:val="24"/>
        </w:rPr>
        <w:t xml:space="preserve"> poverty indicators, prompting and sustaining</w:t>
      </w:r>
      <w:r w:rsidRPr="00373C52">
        <w:rPr>
          <w:rFonts w:ascii="Times New Roman" w:hAnsi="Times New Roman" w:cs="Times New Roman"/>
          <w:sz w:val="24"/>
          <w:szCs w:val="24"/>
        </w:rPr>
        <w:t xml:space="preserve"> competitive behaviours among the IOs. The availability of competing indicators shifted the locus of decision-making in the adoption of poverty measures to country governments</w:t>
      </w:r>
      <w:r>
        <w:rPr>
          <w:rFonts w:ascii="Times New Roman" w:hAnsi="Times New Roman" w:cs="Times New Roman"/>
          <w:sz w:val="24"/>
          <w:szCs w:val="24"/>
        </w:rPr>
        <w:t xml:space="preserve"> that were faced with more measures and approaches to choose from</w:t>
      </w:r>
      <w:r w:rsidRPr="00373C52">
        <w:rPr>
          <w:rFonts w:ascii="Times New Roman" w:hAnsi="Times New Roman" w:cs="Times New Roman"/>
          <w:sz w:val="24"/>
          <w:szCs w:val="24"/>
        </w:rPr>
        <w:t>. For this reason, the IOs started to deploy substantial resources in advocacy activities to market themselves as rigorous providers of scientific know-how and technical assistance to country officials implementing poverty measurement and poli</w:t>
      </w:r>
      <w:r w:rsidR="00B31AE5">
        <w:rPr>
          <w:rFonts w:ascii="Times New Roman" w:hAnsi="Times New Roman" w:cs="Times New Roman"/>
          <w:sz w:val="24"/>
          <w:szCs w:val="24"/>
        </w:rPr>
        <w:t>cies. In this context, the comp</w:t>
      </w:r>
      <w:r w:rsidRPr="00373C52">
        <w:rPr>
          <w:rFonts w:ascii="Times New Roman" w:hAnsi="Times New Roman" w:cs="Times New Roman"/>
          <w:sz w:val="24"/>
          <w:szCs w:val="24"/>
        </w:rPr>
        <w:t>eti</w:t>
      </w:r>
      <w:r w:rsidR="00B31AE5">
        <w:rPr>
          <w:rFonts w:ascii="Times New Roman" w:hAnsi="Times New Roman" w:cs="Times New Roman"/>
          <w:sz w:val="24"/>
          <w:szCs w:val="24"/>
        </w:rPr>
        <w:t>ti</w:t>
      </w:r>
      <w:r w:rsidRPr="00373C52">
        <w:rPr>
          <w:rFonts w:ascii="Times New Roman" w:hAnsi="Times New Roman" w:cs="Times New Roman"/>
          <w:sz w:val="24"/>
          <w:szCs w:val="24"/>
        </w:rPr>
        <w:t xml:space="preserve">on among IOs was not focused anymore on providing expert justifications or defending the epistemic robustness of their measures vis-à-vis other approaches; rather, more and more competition emerged to gain the attention </w:t>
      </w:r>
      <w:r w:rsidR="00B83200">
        <w:rPr>
          <w:rFonts w:ascii="Times New Roman" w:hAnsi="Times New Roman" w:cs="Times New Roman"/>
          <w:sz w:val="24"/>
          <w:szCs w:val="24"/>
        </w:rPr>
        <w:t>and persuade</w:t>
      </w:r>
      <w:r w:rsidRPr="00373C52">
        <w:rPr>
          <w:rFonts w:ascii="Times New Roman" w:hAnsi="Times New Roman" w:cs="Times New Roman"/>
          <w:sz w:val="24"/>
          <w:szCs w:val="24"/>
        </w:rPr>
        <w:t xml:space="preserve"> policy makers and country officials. </w:t>
      </w:r>
    </w:p>
    <w:p w14:paraId="28048C09" w14:textId="4432201D" w:rsidR="00E107B9" w:rsidRPr="00373C52"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t xml:space="preserve">Importantly, our participants were reflexive about the implications of these competitive pressures; hence, they did not appear to be merely at the mercy of market mechanisms and neoliberal ideologies (Merry, 2011). Whilst they acknowledged how the multiplicity of measures is an outcome of ‘organizational vested interests’, they also defended the epistemological value of </w:t>
      </w:r>
      <w:r>
        <w:rPr>
          <w:rFonts w:ascii="Times New Roman" w:hAnsi="Times New Roman" w:cs="Times New Roman"/>
          <w:sz w:val="24"/>
          <w:szCs w:val="24"/>
        </w:rPr>
        <w:t>competition</w:t>
      </w:r>
      <w:r w:rsidRPr="00373C52">
        <w:rPr>
          <w:rFonts w:ascii="Times New Roman" w:hAnsi="Times New Roman" w:cs="Times New Roman"/>
          <w:sz w:val="24"/>
          <w:szCs w:val="24"/>
        </w:rPr>
        <w:t xml:space="preserve"> (Davies, 2014) by linking it to its capacity to entice the willingness to compete and innovate (LeGrand, 2003; Stark, 2009). In this sense, our participants frequently looked beyond individual rivalries and measurement struggles and acknowledged how the </w:t>
      </w:r>
      <w:r>
        <w:rPr>
          <w:rFonts w:ascii="Times New Roman" w:hAnsi="Times New Roman" w:cs="Times New Roman"/>
          <w:sz w:val="24"/>
          <w:szCs w:val="24"/>
        </w:rPr>
        <w:t>KC</w:t>
      </w:r>
      <w:r w:rsidRPr="00373C52">
        <w:rPr>
          <w:rFonts w:ascii="Times New Roman" w:hAnsi="Times New Roman" w:cs="Times New Roman"/>
          <w:sz w:val="24"/>
          <w:szCs w:val="24"/>
        </w:rPr>
        <w:t xml:space="preserve"> pushed for increasing coordination among approaches to establish methodological common ground and assure the credibility of the field. This not only highlights </w:t>
      </w:r>
      <w:r w:rsidRPr="00373C52">
        <w:rPr>
          <w:rFonts w:ascii="Times New Roman" w:hAnsi="Times New Roman" w:cs="Times New Roman"/>
          <w:sz w:val="24"/>
          <w:szCs w:val="24"/>
        </w:rPr>
        <w:lastRenderedPageBreak/>
        <w:t xml:space="preserve">the ‘market making’ capacity of KC, but it also qualifies some of their more far reaching generative aspects that exceed epistemic arguments and struggles.  </w:t>
      </w:r>
    </w:p>
    <w:p w14:paraId="517CEB24" w14:textId="04FE5488" w:rsidR="00E107B9"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t>Third, the</w:t>
      </w:r>
      <w:r>
        <w:rPr>
          <w:rFonts w:ascii="Times New Roman" w:hAnsi="Times New Roman" w:cs="Times New Roman"/>
          <w:sz w:val="24"/>
          <w:szCs w:val="24"/>
        </w:rPr>
        <w:t xml:space="preserve"> findings showed how the</w:t>
      </w:r>
      <w:r w:rsidRPr="00373C52">
        <w:rPr>
          <w:rFonts w:ascii="Times New Roman" w:hAnsi="Times New Roman" w:cs="Times New Roman"/>
          <w:sz w:val="24"/>
          <w:szCs w:val="24"/>
        </w:rPr>
        <w:t xml:space="preserve"> </w:t>
      </w:r>
      <w:r>
        <w:rPr>
          <w:rFonts w:ascii="Times New Roman" w:hAnsi="Times New Roman" w:cs="Times New Roman"/>
          <w:sz w:val="24"/>
          <w:szCs w:val="24"/>
        </w:rPr>
        <w:t>KC</w:t>
      </w:r>
      <w:r w:rsidRPr="00373C52">
        <w:rPr>
          <w:rFonts w:ascii="Times New Roman" w:hAnsi="Times New Roman" w:cs="Times New Roman"/>
          <w:sz w:val="24"/>
          <w:szCs w:val="24"/>
        </w:rPr>
        <w:t xml:space="preserve"> established a symbiotic relationship with </w:t>
      </w:r>
      <w:r w:rsidR="00B83200">
        <w:rPr>
          <w:rFonts w:ascii="Times New Roman" w:hAnsi="Times New Roman" w:cs="Times New Roman"/>
          <w:sz w:val="24"/>
          <w:szCs w:val="24"/>
        </w:rPr>
        <w:t xml:space="preserve">social </w:t>
      </w:r>
      <w:r w:rsidRPr="00373C52">
        <w:rPr>
          <w:rFonts w:ascii="Times New Roman" w:hAnsi="Times New Roman" w:cs="Times New Roman"/>
          <w:sz w:val="24"/>
          <w:szCs w:val="24"/>
        </w:rPr>
        <w:t xml:space="preserve">processes of quantification. The controversy-quantification nexus balanced </w:t>
      </w:r>
      <w:r w:rsidRPr="00CF42A3">
        <w:rPr>
          <w:rFonts w:ascii="Times New Roman" w:hAnsi="Times New Roman" w:cs="Times New Roman"/>
          <w:i/>
          <w:sz w:val="24"/>
          <w:szCs w:val="24"/>
        </w:rPr>
        <w:t>alignment</w:t>
      </w:r>
      <w:r w:rsidRPr="00373C52">
        <w:rPr>
          <w:rFonts w:ascii="Times New Roman" w:hAnsi="Times New Roman" w:cs="Times New Roman"/>
          <w:sz w:val="24"/>
          <w:szCs w:val="24"/>
        </w:rPr>
        <w:t xml:space="preserve"> and </w:t>
      </w:r>
      <w:r w:rsidRPr="00CF42A3">
        <w:rPr>
          <w:rFonts w:ascii="Times New Roman" w:hAnsi="Times New Roman" w:cs="Times New Roman"/>
          <w:i/>
          <w:sz w:val="24"/>
          <w:szCs w:val="24"/>
        </w:rPr>
        <w:t>differentiation</w:t>
      </w:r>
      <w:r w:rsidRPr="00373C52">
        <w:rPr>
          <w:rFonts w:ascii="Times New Roman" w:hAnsi="Times New Roman" w:cs="Times New Roman"/>
          <w:sz w:val="24"/>
          <w:szCs w:val="24"/>
        </w:rPr>
        <w:t xml:space="preserve"> among the IOs’ activities and opened up new avenues for influence over poverty measurement. Whilst a plethora of studies has investigated the issue of ‘governing by numbers’ in different organizatio</w:t>
      </w:r>
      <w:r>
        <w:rPr>
          <w:rFonts w:ascii="Times New Roman" w:hAnsi="Times New Roman" w:cs="Times New Roman"/>
          <w:sz w:val="24"/>
          <w:szCs w:val="24"/>
        </w:rPr>
        <w:t>nal contexts (e.g. Porter, 1995</w:t>
      </w:r>
      <w:r w:rsidRPr="00373C52">
        <w:rPr>
          <w:rFonts w:ascii="Times New Roman" w:hAnsi="Times New Roman" w:cs="Times New Roman"/>
          <w:sz w:val="24"/>
          <w:szCs w:val="24"/>
        </w:rPr>
        <w:t>;</w:t>
      </w:r>
      <w:r>
        <w:rPr>
          <w:rFonts w:ascii="Times New Roman" w:hAnsi="Times New Roman" w:cs="Times New Roman"/>
          <w:sz w:val="24"/>
          <w:szCs w:val="24"/>
        </w:rPr>
        <w:t xml:space="preserve"> Power, 1997; Merry, 2011;</w:t>
      </w:r>
      <w:r w:rsidRPr="00373C52">
        <w:rPr>
          <w:rFonts w:ascii="Times New Roman" w:hAnsi="Times New Roman" w:cs="Times New Roman"/>
          <w:sz w:val="24"/>
          <w:szCs w:val="24"/>
        </w:rPr>
        <w:t xml:space="preserve"> </w:t>
      </w:r>
      <w:r>
        <w:rPr>
          <w:rFonts w:ascii="Times New Roman" w:hAnsi="Times New Roman" w:cs="Times New Roman"/>
          <w:sz w:val="24"/>
          <w:szCs w:val="24"/>
        </w:rPr>
        <w:t>Rottenburg et al., 2015</w:t>
      </w:r>
      <w:r w:rsidR="00B83200">
        <w:rPr>
          <w:rFonts w:ascii="Times New Roman" w:hAnsi="Times New Roman" w:cs="Times New Roman"/>
          <w:sz w:val="24"/>
          <w:szCs w:val="24"/>
        </w:rPr>
        <w:t>; Mennicken &amp; Espeland, 2019</w:t>
      </w:r>
      <w:r w:rsidRPr="00373C52">
        <w:rPr>
          <w:rFonts w:ascii="Times New Roman" w:hAnsi="Times New Roman" w:cs="Times New Roman"/>
          <w:sz w:val="24"/>
          <w:szCs w:val="24"/>
        </w:rPr>
        <w:t xml:space="preserve">), the governing function of </w:t>
      </w:r>
      <w:r w:rsidR="002619CA">
        <w:rPr>
          <w:rFonts w:ascii="Times New Roman" w:hAnsi="Times New Roman" w:cs="Times New Roman"/>
          <w:sz w:val="24"/>
          <w:szCs w:val="24"/>
        </w:rPr>
        <w:t>KC</w:t>
      </w:r>
      <w:r w:rsidRPr="00373C52">
        <w:rPr>
          <w:rFonts w:ascii="Times New Roman" w:hAnsi="Times New Roman" w:cs="Times New Roman"/>
          <w:sz w:val="24"/>
          <w:szCs w:val="24"/>
        </w:rPr>
        <w:t xml:space="preserve"> is underexplored. In our fieldwork, the l</w:t>
      </w:r>
      <w:r w:rsidR="00A54CB2">
        <w:rPr>
          <w:rFonts w:ascii="Times New Roman" w:hAnsi="Times New Roman" w:cs="Times New Roman"/>
          <w:sz w:val="24"/>
          <w:szCs w:val="24"/>
        </w:rPr>
        <w:t>anguage of quantification</w:t>
      </w:r>
      <w:r w:rsidRPr="00373C52">
        <w:rPr>
          <w:rFonts w:ascii="Times New Roman" w:hAnsi="Times New Roman" w:cs="Times New Roman"/>
          <w:sz w:val="24"/>
          <w:szCs w:val="24"/>
        </w:rPr>
        <w:t xml:space="preserve"> worked hand in hand with the compatibility of the epistemic frameworks and repertoires of practices (Knorr-Cetina, 1999) of the communities of experts. However, the field driven exclusively by quantification risks at being homogenised. In this context, the controversy over measurement allowed for a dynamic of both expansive quantification and diversification of knowledge practices. As such</w:t>
      </w:r>
      <w:r>
        <w:rPr>
          <w:rFonts w:ascii="Times New Roman" w:hAnsi="Times New Roman" w:cs="Times New Roman"/>
          <w:sz w:val="24"/>
          <w:szCs w:val="24"/>
        </w:rPr>
        <w:t>,</w:t>
      </w:r>
      <w:r w:rsidRPr="00373C52">
        <w:rPr>
          <w:rFonts w:ascii="Times New Roman" w:hAnsi="Times New Roman" w:cs="Times New Roman"/>
          <w:sz w:val="24"/>
          <w:szCs w:val="24"/>
        </w:rPr>
        <w:t xml:space="preserve"> the </w:t>
      </w:r>
      <w:r>
        <w:rPr>
          <w:rFonts w:ascii="Times New Roman" w:hAnsi="Times New Roman" w:cs="Times New Roman"/>
          <w:sz w:val="24"/>
          <w:szCs w:val="24"/>
        </w:rPr>
        <w:t>KC</w:t>
      </w:r>
      <w:r w:rsidRPr="00373C52">
        <w:rPr>
          <w:rFonts w:ascii="Times New Roman" w:hAnsi="Times New Roman" w:cs="Times New Roman"/>
          <w:sz w:val="24"/>
          <w:szCs w:val="24"/>
        </w:rPr>
        <w:t xml:space="preserve"> </w:t>
      </w:r>
      <w:r>
        <w:rPr>
          <w:rFonts w:ascii="Times New Roman" w:hAnsi="Times New Roman" w:cs="Times New Roman"/>
          <w:sz w:val="24"/>
          <w:szCs w:val="24"/>
        </w:rPr>
        <w:t>partly</w:t>
      </w:r>
      <w:r w:rsidRPr="00373C52">
        <w:rPr>
          <w:rFonts w:ascii="Times New Roman" w:hAnsi="Times New Roman" w:cs="Times New Roman"/>
          <w:sz w:val="24"/>
          <w:szCs w:val="24"/>
        </w:rPr>
        <w:t xml:space="preserve"> counteracted the standardising force of numerical epistemic frameworks but also </w:t>
      </w:r>
      <w:r>
        <w:rPr>
          <w:rFonts w:ascii="Times New Roman" w:hAnsi="Times New Roman" w:cs="Times New Roman"/>
          <w:sz w:val="24"/>
          <w:szCs w:val="24"/>
        </w:rPr>
        <w:t xml:space="preserve">further </w:t>
      </w:r>
      <w:r w:rsidRPr="00373C52">
        <w:rPr>
          <w:rFonts w:ascii="Times New Roman" w:hAnsi="Times New Roman" w:cs="Times New Roman"/>
          <w:sz w:val="24"/>
          <w:szCs w:val="24"/>
        </w:rPr>
        <w:t>enabled</w:t>
      </w:r>
      <w:r>
        <w:rPr>
          <w:rFonts w:ascii="Times New Roman" w:hAnsi="Times New Roman" w:cs="Times New Roman"/>
          <w:sz w:val="24"/>
          <w:szCs w:val="24"/>
        </w:rPr>
        <w:t xml:space="preserve"> their spread and perceived quality and robustness</w:t>
      </w:r>
      <w:r w:rsidRPr="00373C52">
        <w:rPr>
          <w:rFonts w:ascii="Times New Roman" w:hAnsi="Times New Roman" w:cs="Times New Roman"/>
          <w:sz w:val="24"/>
          <w:szCs w:val="24"/>
        </w:rPr>
        <w:t xml:space="preserve">.  </w:t>
      </w:r>
    </w:p>
    <w:p w14:paraId="5ED6620D" w14:textId="1B510917" w:rsidR="00B83200" w:rsidRDefault="00B83200" w:rsidP="00E1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three processes summarized in this discussion in </w:t>
      </w:r>
      <w:r w:rsidR="00AD7271">
        <w:rPr>
          <w:rFonts w:ascii="Times New Roman" w:hAnsi="Times New Roman" w:cs="Times New Roman"/>
          <w:sz w:val="24"/>
          <w:szCs w:val="24"/>
        </w:rPr>
        <w:t>relation</w:t>
      </w:r>
      <w:r>
        <w:rPr>
          <w:rFonts w:ascii="Times New Roman" w:hAnsi="Times New Roman" w:cs="Times New Roman"/>
          <w:sz w:val="24"/>
          <w:szCs w:val="24"/>
        </w:rPr>
        <w:t xml:space="preserve"> to KC – namely its capacity to shape the focus and domain of action of organizations, its </w:t>
      </w:r>
      <w:r w:rsidR="002619CA">
        <w:rPr>
          <w:rFonts w:ascii="Times New Roman" w:hAnsi="Times New Roman" w:cs="Times New Roman"/>
          <w:sz w:val="24"/>
          <w:szCs w:val="24"/>
        </w:rPr>
        <w:t>market-making power</w:t>
      </w:r>
      <w:r w:rsidR="007E5C8C">
        <w:rPr>
          <w:rFonts w:ascii="Times New Roman" w:hAnsi="Times New Roman" w:cs="Times New Roman"/>
          <w:sz w:val="24"/>
          <w:szCs w:val="24"/>
        </w:rPr>
        <w:t xml:space="preserve">, and </w:t>
      </w:r>
      <w:r w:rsidR="002619CA">
        <w:rPr>
          <w:rFonts w:ascii="Times New Roman" w:hAnsi="Times New Roman" w:cs="Times New Roman"/>
          <w:sz w:val="24"/>
          <w:szCs w:val="24"/>
        </w:rPr>
        <w:t>its</w:t>
      </w:r>
      <w:r w:rsidR="007E5C8C">
        <w:rPr>
          <w:rFonts w:ascii="Times New Roman" w:hAnsi="Times New Roman" w:cs="Times New Roman"/>
          <w:sz w:val="24"/>
          <w:szCs w:val="24"/>
        </w:rPr>
        <w:t xml:space="preserve"> symbiotic relationship with quantification – constitutes the</w:t>
      </w:r>
      <w:r w:rsidR="00E61921">
        <w:rPr>
          <w:rFonts w:ascii="Times New Roman" w:hAnsi="Times New Roman" w:cs="Times New Roman"/>
          <w:sz w:val="24"/>
          <w:szCs w:val="24"/>
        </w:rPr>
        <w:t xml:space="preserve"> conceptual </w:t>
      </w:r>
      <w:r w:rsidR="007E5C8C">
        <w:rPr>
          <w:rFonts w:ascii="Times New Roman" w:hAnsi="Times New Roman" w:cs="Times New Roman"/>
          <w:sz w:val="24"/>
          <w:szCs w:val="24"/>
        </w:rPr>
        <w:t xml:space="preserve"> infrastructure of</w:t>
      </w:r>
      <w:r w:rsidR="00AD7271">
        <w:rPr>
          <w:rFonts w:ascii="Times New Roman" w:hAnsi="Times New Roman" w:cs="Times New Roman"/>
          <w:sz w:val="24"/>
          <w:szCs w:val="24"/>
        </w:rPr>
        <w:t xml:space="preserve"> what we call</w:t>
      </w:r>
      <w:r w:rsidR="007E5C8C">
        <w:rPr>
          <w:rFonts w:ascii="Times New Roman" w:hAnsi="Times New Roman" w:cs="Times New Roman"/>
          <w:sz w:val="24"/>
          <w:szCs w:val="24"/>
        </w:rPr>
        <w:t xml:space="preserve"> ‘governing by controversy’. </w:t>
      </w:r>
    </w:p>
    <w:p w14:paraId="4055B4EC" w14:textId="118C26A5" w:rsidR="00E107B9" w:rsidRPr="00373C52" w:rsidRDefault="00E107B9" w:rsidP="002619CA">
      <w:pPr>
        <w:numPr>
          <w:ilvl w:val="1"/>
          <w:numId w:val="2"/>
        </w:numPr>
        <w:spacing w:line="480" w:lineRule="auto"/>
        <w:contextualSpacing/>
        <w:jc w:val="both"/>
        <w:rPr>
          <w:rFonts w:ascii="Times New Roman" w:hAnsi="Times New Roman" w:cs="Times New Roman"/>
          <w:i/>
          <w:sz w:val="24"/>
          <w:szCs w:val="24"/>
        </w:rPr>
      </w:pPr>
      <w:r>
        <w:rPr>
          <w:rFonts w:ascii="Times New Roman" w:hAnsi="Times New Roman" w:cs="Times New Roman"/>
          <w:i/>
          <w:sz w:val="24"/>
          <w:szCs w:val="24"/>
        </w:rPr>
        <w:t>K</w:t>
      </w:r>
      <w:r w:rsidR="00850110">
        <w:rPr>
          <w:rFonts w:ascii="Times New Roman" w:hAnsi="Times New Roman" w:cs="Times New Roman"/>
          <w:i/>
          <w:sz w:val="24"/>
          <w:szCs w:val="24"/>
        </w:rPr>
        <w:t>nowledge controversies</w:t>
      </w:r>
      <w:r w:rsidRPr="00373C52">
        <w:rPr>
          <w:rFonts w:ascii="Times New Roman" w:hAnsi="Times New Roman" w:cs="Times New Roman"/>
          <w:i/>
          <w:sz w:val="24"/>
          <w:szCs w:val="24"/>
        </w:rPr>
        <w:t xml:space="preserve"> as engines of valuation </w:t>
      </w:r>
    </w:p>
    <w:p w14:paraId="330A8A57" w14:textId="169E4526" w:rsidR="00E107B9" w:rsidRDefault="00E107B9" w:rsidP="002619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opening the ‘black box’ </w:t>
      </w:r>
      <w:r w:rsidRPr="004C6A20">
        <w:rPr>
          <w:rFonts w:ascii="Times New Roman" w:hAnsi="Times New Roman" w:cs="Times New Roman"/>
          <w:sz w:val="24"/>
          <w:szCs w:val="24"/>
        </w:rPr>
        <w:t>of the social practices of assigning epistemic, political, and strategic value to different indicators</w:t>
      </w:r>
      <w:r>
        <w:rPr>
          <w:rFonts w:ascii="Times New Roman" w:hAnsi="Times New Roman" w:cs="Times New Roman"/>
          <w:sz w:val="24"/>
          <w:szCs w:val="24"/>
        </w:rPr>
        <w:t xml:space="preserve"> and measurement approaches, our findings showed how the KC functioned as an engine of valuation.</w:t>
      </w:r>
      <w:r w:rsidRPr="004C6A20">
        <w:rPr>
          <w:rFonts w:ascii="Times New Roman" w:hAnsi="Times New Roman" w:cs="Times New Roman"/>
          <w:sz w:val="24"/>
          <w:szCs w:val="24"/>
        </w:rPr>
        <w:t xml:space="preserve"> </w:t>
      </w:r>
      <w:r w:rsidRPr="00373C52">
        <w:rPr>
          <w:rFonts w:ascii="Times New Roman" w:hAnsi="Times New Roman" w:cs="Times New Roman"/>
          <w:sz w:val="24"/>
          <w:szCs w:val="24"/>
        </w:rPr>
        <w:t>Research has shown that the resolution of controversies seldom occurs and they are most often the result of a restructuring of political alignments</w:t>
      </w:r>
      <w:r>
        <w:rPr>
          <w:rFonts w:ascii="Times New Roman" w:hAnsi="Times New Roman" w:cs="Times New Roman"/>
          <w:sz w:val="24"/>
          <w:szCs w:val="24"/>
        </w:rPr>
        <w:t xml:space="preserve"> and</w:t>
      </w:r>
      <w:r w:rsidRPr="00373C52">
        <w:rPr>
          <w:rFonts w:ascii="Times New Roman" w:hAnsi="Times New Roman" w:cs="Times New Roman"/>
          <w:sz w:val="24"/>
          <w:szCs w:val="24"/>
        </w:rPr>
        <w:t xml:space="preserve"> institutional structures rather than methodological statements (Whatmore, 2009; Donaldson et al., 2010</w:t>
      </w:r>
      <w:r>
        <w:rPr>
          <w:rFonts w:ascii="Times New Roman" w:hAnsi="Times New Roman" w:cs="Times New Roman"/>
          <w:sz w:val="24"/>
          <w:szCs w:val="24"/>
        </w:rPr>
        <w:t>;</w:t>
      </w:r>
      <w:r w:rsidRPr="00F86A6C">
        <w:t xml:space="preserve"> </w:t>
      </w:r>
      <w:r w:rsidRPr="00F86A6C">
        <w:rPr>
          <w:rFonts w:ascii="Times New Roman" w:hAnsi="Times New Roman" w:cs="Times New Roman"/>
          <w:sz w:val="24"/>
          <w:szCs w:val="24"/>
        </w:rPr>
        <w:t>Grundman &amp; Stehr, 2012</w:t>
      </w:r>
      <w:r w:rsidRPr="00373C52">
        <w:rPr>
          <w:rFonts w:ascii="Times New Roman" w:hAnsi="Times New Roman" w:cs="Times New Roman"/>
          <w:sz w:val="24"/>
          <w:szCs w:val="24"/>
        </w:rPr>
        <w:t>).</w:t>
      </w:r>
      <w:r>
        <w:rPr>
          <w:rFonts w:ascii="Times New Roman" w:hAnsi="Times New Roman" w:cs="Times New Roman"/>
          <w:sz w:val="24"/>
          <w:szCs w:val="24"/>
        </w:rPr>
        <w:t xml:space="preserve"> In our findings, this </w:t>
      </w:r>
      <w:r w:rsidRPr="00373C52">
        <w:rPr>
          <w:rFonts w:ascii="Times New Roman" w:hAnsi="Times New Roman" w:cs="Times New Roman"/>
          <w:sz w:val="24"/>
          <w:szCs w:val="24"/>
        </w:rPr>
        <w:t xml:space="preserve">seemingly intractable quality of </w:t>
      </w:r>
      <w:r>
        <w:rPr>
          <w:rFonts w:ascii="Times New Roman" w:hAnsi="Times New Roman" w:cs="Times New Roman"/>
          <w:sz w:val="24"/>
          <w:szCs w:val="24"/>
        </w:rPr>
        <w:t>KC</w:t>
      </w:r>
      <w:r w:rsidRPr="00373C52">
        <w:rPr>
          <w:rFonts w:ascii="Times New Roman" w:hAnsi="Times New Roman" w:cs="Times New Roman"/>
          <w:sz w:val="24"/>
          <w:szCs w:val="24"/>
        </w:rPr>
        <w:t xml:space="preserve"> played a central role in the valuation of measurement approaches </w:t>
      </w:r>
      <w:r>
        <w:rPr>
          <w:rFonts w:ascii="Times New Roman" w:hAnsi="Times New Roman" w:cs="Times New Roman"/>
          <w:sz w:val="24"/>
          <w:szCs w:val="24"/>
        </w:rPr>
        <w:t>and we</w:t>
      </w:r>
      <w:r w:rsidRPr="00373C52">
        <w:rPr>
          <w:rFonts w:ascii="Times New Roman" w:hAnsi="Times New Roman" w:cs="Times New Roman"/>
          <w:sz w:val="24"/>
          <w:szCs w:val="24"/>
        </w:rPr>
        <w:t xml:space="preserve"> detailed some of the struggles through which IOs carve out their numerical turf and develop strategies to expand </w:t>
      </w:r>
      <w:r>
        <w:rPr>
          <w:rFonts w:ascii="Times New Roman" w:hAnsi="Times New Roman" w:cs="Times New Roman"/>
          <w:sz w:val="24"/>
          <w:szCs w:val="24"/>
        </w:rPr>
        <w:t xml:space="preserve">the </w:t>
      </w:r>
      <w:r w:rsidRPr="00373C52">
        <w:rPr>
          <w:rFonts w:ascii="Times New Roman" w:hAnsi="Times New Roman" w:cs="Times New Roman"/>
          <w:sz w:val="24"/>
          <w:szCs w:val="24"/>
        </w:rPr>
        <w:t xml:space="preserve">influence of their </w:t>
      </w:r>
      <w:r>
        <w:rPr>
          <w:rFonts w:ascii="Times New Roman" w:hAnsi="Times New Roman" w:cs="Times New Roman"/>
          <w:sz w:val="24"/>
          <w:szCs w:val="24"/>
        </w:rPr>
        <w:t>measures</w:t>
      </w:r>
      <w:r w:rsidRPr="00373C52">
        <w:rPr>
          <w:rFonts w:ascii="Times New Roman" w:hAnsi="Times New Roman" w:cs="Times New Roman"/>
          <w:sz w:val="24"/>
          <w:szCs w:val="24"/>
        </w:rPr>
        <w:t>.</w:t>
      </w:r>
    </w:p>
    <w:p w14:paraId="366A05D2" w14:textId="00E01F2C" w:rsidR="00E107B9" w:rsidRPr="00373C52" w:rsidRDefault="00982A95" w:rsidP="00E107B9">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E107B9" w:rsidRPr="00373C52">
        <w:rPr>
          <w:rFonts w:ascii="Times New Roman" w:hAnsi="Times New Roman" w:cs="Times New Roman"/>
          <w:sz w:val="24"/>
          <w:szCs w:val="24"/>
        </w:rPr>
        <w:t>e exposed a so far under-investigated dynamic of the poverty measurement field, name</w:t>
      </w:r>
      <w:r w:rsidR="00E107B9">
        <w:rPr>
          <w:rFonts w:ascii="Times New Roman" w:hAnsi="Times New Roman" w:cs="Times New Roman"/>
          <w:sz w:val="24"/>
          <w:szCs w:val="24"/>
        </w:rPr>
        <w:t xml:space="preserve">ly the fact that in this space </w:t>
      </w:r>
      <w:r w:rsidR="00E107B9" w:rsidRPr="00373C52">
        <w:rPr>
          <w:rFonts w:ascii="Times New Roman" w:hAnsi="Times New Roman" w:cs="Times New Roman"/>
          <w:sz w:val="24"/>
          <w:szCs w:val="24"/>
        </w:rPr>
        <w:t>competition takes place on the level of valuation practices</w:t>
      </w:r>
      <w:r w:rsidR="00E107B9">
        <w:rPr>
          <w:rFonts w:ascii="Times New Roman" w:hAnsi="Times New Roman" w:cs="Times New Roman"/>
          <w:sz w:val="24"/>
          <w:szCs w:val="24"/>
        </w:rPr>
        <w:t xml:space="preserve"> (see Kornberger, 2017)</w:t>
      </w:r>
      <w:r w:rsidR="00E107B9" w:rsidRPr="00373C52">
        <w:rPr>
          <w:rFonts w:ascii="Times New Roman" w:hAnsi="Times New Roman" w:cs="Times New Roman"/>
          <w:sz w:val="24"/>
          <w:szCs w:val="24"/>
        </w:rPr>
        <w:t xml:space="preserve"> </w:t>
      </w:r>
      <w:r w:rsidR="00E107B9">
        <w:rPr>
          <w:rFonts w:ascii="Times New Roman" w:hAnsi="Times New Roman" w:cs="Times New Roman"/>
          <w:sz w:val="24"/>
          <w:szCs w:val="24"/>
        </w:rPr>
        <w:t>and IOs</w:t>
      </w:r>
      <w:r w:rsidR="00E107B9" w:rsidRPr="00373C52">
        <w:rPr>
          <w:rFonts w:ascii="Times New Roman" w:hAnsi="Times New Roman" w:cs="Times New Roman"/>
          <w:sz w:val="24"/>
          <w:szCs w:val="24"/>
        </w:rPr>
        <w:t xml:space="preserve"> </w:t>
      </w:r>
      <w:r w:rsidR="00E107B9">
        <w:rPr>
          <w:rFonts w:ascii="Times New Roman" w:hAnsi="Times New Roman" w:cs="Times New Roman"/>
          <w:sz w:val="24"/>
          <w:szCs w:val="24"/>
        </w:rPr>
        <w:t xml:space="preserve">deploy considerable resources to advance their measurement </w:t>
      </w:r>
      <w:r w:rsidR="00E107B9">
        <w:rPr>
          <w:rFonts w:ascii="Times New Roman" w:hAnsi="Times New Roman" w:cs="Times New Roman"/>
          <w:sz w:val="24"/>
          <w:szCs w:val="24"/>
        </w:rPr>
        <w:lastRenderedPageBreak/>
        <w:t xml:space="preserve">agendas and penetrate the market of indicators. </w:t>
      </w:r>
      <w:r w:rsidR="00E61921">
        <w:rPr>
          <w:rFonts w:ascii="Times New Roman" w:hAnsi="Times New Roman" w:cs="Times New Roman"/>
          <w:sz w:val="24"/>
          <w:szCs w:val="24"/>
        </w:rPr>
        <w:t>T</w:t>
      </w:r>
      <w:r w:rsidR="00E107B9" w:rsidRPr="00373C52">
        <w:rPr>
          <w:rFonts w:ascii="Times New Roman" w:hAnsi="Times New Roman" w:cs="Times New Roman"/>
          <w:sz w:val="24"/>
          <w:szCs w:val="24"/>
        </w:rPr>
        <w:t xml:space="preserve">he insolvability of the controversy allowed for the iterative </w:t>
      </w:r>
      <w:r w:rsidR="00E107B9">
        <w:rPr>
          <w:rFonts w:ascii="Times New Roman" w:hAnsi="Times New Roman" w:cs="Times New Roman"/>
          <w:sz w:val="24"/>
          <w:szCs w:val="24"/>
        </w:rPr>
        <w:t xml:space="preserve">assessment of value </w:t>
      </w:r>
      <w:r w:rsidR="00E107B9" w:rsidRPr="00373C52">
        <w:rPr>
          <w:rFonts w:ascii="Times New Roman" w:hAnsi="Times New Roman" w:cs="Times New Roman"/>
          <w:sz w:val="24"/>
          <w:szCs w:val="24"/>
        </w:rPr>
        <w:t>and</w:t>
      </w:r>
      <w:r w:rsidR="00E107B9">
        <w:rPr>
          <w:rFonts w:ascii="Times New Roman" w:hAnsi="Times New Roman" w:cs="Times New Roman"/>
          <w:sz w:val="24"/>
          <w:szCs w:val="24"/>
        </w:rPr>
        <w:t xml:space="preserve"> prompted the</w:t>
      </w:r>
      <w:r w:rsidR="00E107B9" w:rsidRPr="00373C52">
        <w:rPr>
          <w:rFonts w:ascii="Times New Roman" w:hAnsi="Times New Roman" w:cs="Times New Roman"/>
          <w:sz w:val="24"/>
          <w:szCs w:val="24"/>
        </w:rPr>
        <w:t xml:space="preserve"> reconfiguration of qualities through which the valuation process occurs. </w:t>
      </w:r>
      <w:r w:rsidR="00E107B9">
        <w:rPr>
          <w:rFonts w:ascii="Times New Roman" w:hAnsi="Times New Roman" w:cs="Times New Roman"/>
          <w:sz w:val="24"/>
          <w:szCs w:val="24"/>
        </w:rPr>
        <w:t>The participants were nearly unanimous in highlighting how – despite the risk of politicized use</w:t>
      </w:r>
      <w:r w:rsidR="00E61921">
        <w:rPr>
          <w:rFonts w:ascii="Times New Roman" w:hAnsi="Times New Roman" w:cs="Times New Roman"/>
          <w:sz w:val="24"/>
          <w:szCs w:val="24"/>
        </w:rPr>
        <w:t>s</w:t>
      </w:r>
      <w:r w:rsidR="00E107B9">
        <w:rPr>
          <w:rFonts w:ascii="Times New Roman" w:hAnsi="Times New Roman" w:cs="Times New Roman"/>
          <w:sz w:val="24"/>
          <w:szCs w:val="24"/>
        </w:rPr>
        <w:t xml:space="preserve"> of competing measures – this influenced </w:t>
      </w:r>
      <w:r>
        <w:rPr>
          <w:rFonts w:ascii="Times New Roman" w:hAnsi="Times New Roman" w:cs="Times New Roman"/>
          <w:sz w:val="24"/>
          <w:szCs w:val="24"/>
        </w:rPr>
        <w:t xml:space="preserve">positively </w:t>
      </w:r>
      <w:r w:rsidR="00E107B9">
        <w:rPr>
          <w:rFonts w:ascii="Times New Roman" w:hAnsi="Times New Roman" w:cs="Times New Roman"/>
          <w:sz w:val="24"/>
          <w:szCs w:val="24"/>
        </w:rPr>
        <w:t xml:space="preserve">the quality of the debates and the strengths of their measures. </w:t>
      </w:r>
      <w:r w:rsidR="00E107B9" w:rsidRPr="00373C52">
        <w:rPr>
          <w:rFonts w:ascii="Times New Roman" w:hAnsi="Times New Roman" w:cs="Times New Roman"/>
          <w:sz w:val="24"/>
          <w:szCs w:val="24"/>
        </w:rPr>
        <w:t xml:space="preserve">In this sense, the </w:t>
      </w:r>
      <w:r w:rsidR="00E107B9">
        <w:rPr>
          <w:rFonts w:ascii="Times New Roman" w:hAnsi="Times New Roman" w:cs="Times New Roman"/>
          <w:sz w:val="24"/>
          <w:szCs w:val="24"/>
        </w:rPr>
        <w:t>KC</w:t>
      </w:r>
      <w:r w:rsidR="00E107B9" w:rsidRPr="00373C52">
        <w:rPr>
          <w:rFonts w:ascii="Times New Roman" w:hAnsi="Times New Roman" w:cs="Times New Roman"/>
          <w:sz w:val="24"/>
          <w:szCs w:val="24"/>
        </w:rPr>
        <w:t xml:space="preserve"> opened up the space for competition between multiple different yet authoritative measurement approaches. This is interesting in a setting character</w:t>
      </w:r>
      <w:r>
        <w:rPr>
          <w:rFonts w:ascii="Times New Roman" w:hAnsi="Times New Roman" w:cs="Times New Roman"/>
          <w:sz w:val="24"/>
          <w:szCs w:val="24"/>
        </w:rPr>
        <w:t>ized by complex relations of co</w:t>
      </w:r>
      <w:r w:rsidRPr="00373C52">
        <w:rPr>
          <w:rFonts w:ascii="Times New Roman" w:hAnsi="Times New Roman" w:cs="Times New Roman"/>
          <w:sz w:val="24"/>
          <w:szCs w:val="24"/>
        </w:rPr>
        <w:t>-dependency</w:t>
      </w:r>
      <w:r w:rsidR="00E107B9" w:rsidRPr="00373C52">
        <w:rPr>
          <w:rFonts w:ascii="Times New Roman" w:hAnsi="Times New Roman" w:cs="Times New Roman"/>
          <w:sz w:val="24"/>
          <w:szCs w:val="24"/>
        </w:rPr>
        <w:t xml:space="preserve"> (Barry, 2012), in which IOs on the one hand aim to achieve the </w:t>
      </w:r>
      <w:r w:rsidR="00E107B9" w:rsidRPr="00F86A6C">
        <w:rPr>
          <w:rFonts w:ascii="Times New Roman" w:hAnsi="Times New Roman"/>
          <w:sz w:val="24"/>
        </w:rPr>
        <w:t>common goal poverty eradication</w:t>
      </w:r>
      <w:r w:rsidR="00E107B9" w:rsidRPr="00373C52">
        <w:rPr>
          <w:rFonts w:ascii="Times New Roman" w:hAnsi="Times New Roman" w:cs="Times New Roman"/>
          <w:sz w:val="24"/>
          <w:szCs w:val="24"/>
        </w:rPr>
        <w:t xml:space="preserve"> and</w:t>
      </w:r>
      <w:r w:rsidR="00E107B9">
        <w:rPr>
          <w:rFonts w:ascii="Times New Roman" w:hAnsi="Times New Roman" w:cs="Times New Roman"/>
          <w:sz w:val="24"/>
          <w:szCs w:val="24"/>
        </w:rPr>
        <w:t>,</w:t>
      </w:r>
      <w:r w:rsidR="00E107B9" w:rsidRPr="00373C52">
        <w:rPr>
          <w:rFonts w:ascii="Times New Roman" w:hAnsi="Times New Roman" w:cs="Times New Roman"/>
          <w:sz w:val="24"/>
          <w:szCs w:val="24"/>
        </w:rPr>
        <w:t xml:space="preserve"> on the other hand, are pushed to compete by the homogenisation of t</w:t>
      </w:r>
      <w:r w:rsidR="00E61921">
        <w:rPr>
          <w:rFonts w:ascii="Times New Roman" w:hAnsi="Times New Roman" w:cs="Times New Roman"/>
          <w:sz w:val="24"/>
          <w:szCs w:val="24"/>
        </w:rPr>
        <w:t>he policy field and the blurred</w:t>
      </w:r>
      <w:r w:rsidR="00E107B9" w:rsidRPr="00373C52">
        <w:rPr>
          <w:rFonts w:ascii="Times New Roman" w:hAnsi="Times New Roman" w:cs="Times New Roman"/>
          <w:sz w:val="24"/>
          <w:szCs w:val="24"/>
        </w:rPr>
        <w:t xml:space="preserve"> boundaries around the IOs’ organisational remits. </w:t>
      </w:r>
    </w:p>
    <w:p w14:paraId="1C6E1771" w14:textId="56614199" w:rsidR="00E107B9" w:rsidRPr="00373C52" w:rsidRDefault="00E107B9" w:rsidP="00E107B9">
      <w:pPr>
        <w:spacing w:line="360" w:lineRule="auto"/>
        <w:jc w:val="both"/>
        <w:rPr>
          <w:rFonts w:ascii="Times New Roman" w:hAnsi="Times New Roman" w:cs="Times New Roman"/>
          <w:sz w:val="24"/>
          <w:szCs w:val="24"/>
        </w:rPr>
      </w:pPr>
      <w:r w:rsidRPr="00373C52">
        <w:rPr>
          <w:rFonts w:ascii="Times New Roman" w:hAnsi="Times New Roman" w:cs="Times New Roman"/>
          <w:sz w:val="24"/>
          <w:szCs w:val="24"/>
        </w:rPr>
        <w:t xml:space="preserve">We </w:t>
      </w:r>
      <w:r>
        <w:rPr>
          <w:rFonts w:ascii="Times New Roman" w:hAnsi="Times New Roman" w:cs="Times New Roman"/>
          <w:sz w:val="24"/>
          <w:szCs w:val="24"/>
        </w:rPr>
        <w:t>showed</w:t>
      </w:r>
      <w:r w:rsidRPr="00373C52">
        <w:rPr>
          <w:rFonts w:ascii="Times New Roman" w:hAnsi="Times New Roman" w:cs="Times New Roman"/>
          <w:sz w:val="24"/>
          <w:szCs w:val="24"/>
        </w:rPr>
        <w:t xml:space="preserve"> that valuation is key in</w:t>
      </w:r>
      <w:r>
        <w:rPr>
          <w:rFonts w:ascii="Times New Roman" w:hAnsi="Times New Roman" w:cs="Times New Roman"/>
          <w:sz w:val="24"/>
          <w:szCs w:val="24"/>
        </w:rPr>
        <w:t xml:space="preserve"> these</w:t>
      </w:r>
      <w:r w:rsidRPr="00373C52">
        <w:rPr>
          <w:rFonts w:ascii="Times New Roman" w:hAnsi="Times New Roman" w:cs="Times New Roman"/>
          <w:sz w:val="24"/>
          <w:szCs w:val="24"/>
        </w:rPr>
        <w:t xml:space="preserve"> process</w:t>
      </w:r>
      <w:r>
        <w:rPr>
          <w:rFonts w:ascii="Times New Roman" w:hAnsi="Times New Roman" w:cs="Times New Roman"/>
          <w:sz w:val="24"/>
          <w:szCs w:val="24"/>
        </w:rPr>
        <w:t>es</w:t>
      </w:r>
      <w:r w:rsidRPr="00373C52">
        <w:rPr>
          <w:rFonts w:ascii="Times New Roman" w:hAnsi="Times New Roman" w:cs="Times New Roman"/>
          <w:sz w:val="24"/>
          <w:szCs w:val="24"/>
        </w:rPr>
        <w:t xml:space="preserve">. </w:t>
      </w:r>
      <w:r w:rsidR="00E61921">
        <w:rPr>
          <w:rFonts w:ascii="Times New Roman" w:hAnsi="Times New Roman" w:cs="Times New Roman"/>
          <w:sz w:val="24"/>
          <w:szCs w:val="24"/>
        </w:rPr>
        <w:t>T</w:t>
      </w:r>
      <w:r>
        <w:rPr>
          <w:rFonts w:ascii="Times New Roman" w:hAnsi="Times New Roman" w:cs="Times New Roman"/>
          <w:sz w:val="24"/>
          <w:szCs w:val="24"/>
        </w:rPr>
        <w:t xml:space="preserve">he sociology of valuation </w:t>
      </w:r>
      <w:r w:rsidR="00982A95">
        <w:rPr>
          <w:rFonts w:ascii="Times New Roman" w:hAnsi="Times New Roman" w:cs="Times New Roman"/>
          <w:sz w:val="24"/>
          <w:szCs w:val="24"/>
        </w:rPr>
        <w:t>highlights</w:t>
      </w:r>
      <w:r w:rsidRPr="00373C52">
        <w:rPr>
          <w:rFonts w:ascii="Times New Roman" w:hAnsi="Times New Roman" w:cs="Times New Roman"/>
          <w:sz w:val="24"/>
          <w:szCs w:val="24"/>
        </w:rPr>
        <w:t xml:space="preserve"> the generative power of </w:t>
      </w:r>
      <w:r>
        <w:rPr>
          <w:rFonts w:ascii="Times New Roman" w:hAnsi="Times New Roman" w:cs="Times New Roman"/>
          <w:sz w:val="24"/>
          <w:szCs w:val="24"/>
        </w:rPr>
        <w:t>evaluative</w:t>
      </w:r>
      <w:r w:rsidRPr="00373C52">
        <w:rPr>
          <w:rFonts w:ascii="Times New Roman" w:hAnsi="Times New Roman" w:cs="Times New Roman"/>
          <w:sz w:val="24"/>
          <w:szCs w:val="24"/>
        </w:rPr>
        <w:t xml:space="preserve"> tensions</w:t>
      </w:r>
      <w:r>
        <w:rPr>
          <w:rFonts w:ascii="Times New Roman" w:hAnsi="Times New Roman" w:cs="Times New Roman"/>
          <w:sz w:val="24"/>
          <w:szCs w:val="24"/>
        </w:rPr>
        <w:t xml:space="preserve"> and frictions</w:t>
      </w:r>
      <w:r w:rsidRPr="00373C52">
        <w:rPr>
          <w:rFonts w:ascii="Times New Roman" w:hAnsi="Times New Roman" w:cs="Times New Roman"/>
          <w:sz w:val="24"/>
          <w:szCs w:val="24"/>
        </w:rPr>
        <w:t xml:space="preserve"> in social processes of valuation (Stark, 2009; Lamont, 2012</w:t>
      </w:r>
      <w:r w:rsidR="006168C5">
        <w:rPr>
          <w:rFonts w:ascii="Times New Roman" w:hAnsi="Times New Roman" w:cs="Times New Roman"/>
          <w:sz w:val="24"/>
          <w:szCs w:val="24"/>
        </w:rPr>
        <w:t>; Quattrone, 2015</w:t>
      </w:r>
      <w:r w:rsidRPr="00373C52">
        <w:rPr>
          <w:rFonts w:ascii="Times New Roman" w:hAnsi="Times New Roman" w:cs="Times New Roman"/>
          <w:sz w:val="24"/>
          <w:szCs w:val="24"/>
        </w:rPr>
        <w:t xml:space="preserve">). In our fieldwork, we showed how the </w:t>
      </w:r>
      <w:r>
        <w:rPr>
          <w:rFonts w:ascii="Times New Roman" w:hAnsi="Times New Roman" w:cs="Times New Roman"/>
          <w:sz w:val="24"/>
          <w:szCs w:val="24"/>
        </w:rPr>
        <w:t>KC</w:t>
      </w:r>
      <w:r w:rsidRPr="00373C52">
        <w:rPr>
          <w:rFonts w:ascii="Times New Roman" w:hAnsi="Times New Roman" w:cs="Times New Roman"/>
          <w:sz w:val="24"/>
          <w:szCs w:val="24"/>
        </w:rPr>
        <w:t xml:space="preserve"> over poverty measurement set a fertile ground for the development of indicator portfolios that are assessed </w:t>
      </w:r>
      <w:r w:rsidR="00E61921">
        <w:rPr>
          <w:rFonts w:ascii="Times New Roman" w:hAnsi="Times New Roman" w:cs="Times New Roman"/>
          <w:sz w:val="24"/>
          <w:szCs w:val="24"/>
        </w:rPr>
        <w:t>based on</w:t>
      </w:r>
      <w:r w:rsidRPr="00373C52">
        <w:rPr>
          <w:rFonts w:ascii="Times New Roman" w:hAnsi="Times New Roman" w:cs="Times New Roman"/>
          <w:sz w:val="24"/>
          <w:szCs w:val="24"/>
        </w:rPr>
        <w:t xml:space="preserve"> a multiplicity of </w:t>
      </w:r>
      <w:r w:rsidRPr="00373C52">
        <w:rPr>
          <w:rFonts w:ascii="Times New Roman" w:hAnsi="Times New Roman" w:cs="Times New Roman"/>
          <w:i/>
          <w:sz w:val="24"/>
          <w:szCs w:val="24"/>
        </w:rPr>
        <w:t>competing</w:t>
      </w:r>
      <w:r w:rsidRPr="00373C52">
        <w:rPr>
          <w:rFonts w:ascii="Times New Roman" w:hAnsi="Times New Roman" w:cs="Times New Roman"/>
          <w:sz w:val="24"/>
          <w:szCs w:val="24"/>
        </w:rPr>
        <w:t xml:space="preserve"> value criteria. In particular, our findings show that the controversy bolstered and perpetuated struggles that far exceed principled methodological disagreements among experts. In fact, the measurement approaches were assessed on the basis of a measure’s scientific quality and methodological robustness (epistemic value), their ease of applicability and capacity to be appropriated and discussed in political arenas (political value), and the way in which they can interface, interfere, and influence other IOs’ valuation practices and measurement approaches (strategic value). </w:t>
      </w:r>
    </w:p>
    <w:p w14:paraId="4D02ACBB" w14:textId="7787155E" w:rsidR="00982A95" w:rsidRDefault="00E107B9" w:rsidP="00982A95">
      <w:pPr>
        <w:spacing w:line="360" w:lineRule="auto"/>
        <w:jc w:val="both"/>
        <w:rPr>
          <w:rFonts w:ascii="Times New Roman" w:eastAsia="Garamond" w:hAnsi="Times New Roman" w:cs="Times New Roman"/>
          <w:b/>
          <w:sz w:val="24"/>
          <w:szCs w:val="24"/>
        </w:rPr>
      </w:pPr>
      <w:r w:rsidRPr="00373C52">
        <w:rPr>
          <w:rFonts w:ascii="Times New Roman" w:hAnsi="Times New Roman" w:cs="Times New Roman"/>
          <w:sz w:val="24"/>
          <w:szCs w:val="24"/>
        </w:rPr>
        <w:t xml:space="preserve">Our findings illustrated the IOs’ strategic agency in response to the rivalry that is engendered by the practices of valuation sustained by a KC. Also, the actors were shown to </w:t>
      </w:r>
      <w:r w:rsidRPr="00373C52">
        <w:rPr>
          <w:rFonts w:ascii="Times New Roman" w:hAnsi="Times New Roman" w:cs="Times New Roman"/>
          <w:i/>
          <w:sz w:val="24"/>
          <w:szCs w:val="24"/>
        </w:rPr>
        <w:t>internalize</w:t>
      </w:r>
      <w:r w:rsidRPr="00373C52">
        <w:rPr>
          <w:rFonts w:ascii="Times New Roman" w:hAnsi="Times New Roman" w:cs="Times New Roman"/>
          <w:sz w:val="24"/>
          <w:szCs w:val="24"/>
        </w:rPr>
        <w:t xml:space="preserve"> value criteria that would allow their organization to cope with and influence other IOs’ measurement approaches. Similarly, the IOs also tried to </w:t>
      </w:r>
      <w:r w:rsidRPr="00373C52">
        <w:rPr>
          <w:rFonts w:ascii="Times New Roman" w:hAnsi="Times New Roman" w:cs="Times New Roman"/>
          <w:i/>
          <w:sz w:val="24"/>
          <w:szCs w:val="24"/>
        </w:rPr>
        <w:t>impose</w:t>
      </w:r>
      <w:r w:rsidRPr="00373C52">
        <w:rPr>
          <w:rFonts w:ascii="Times New Roman" w:hAnsi="Times New Roman" w:cs="Times New Roman"/>
          <w:sz w:val="24"/>
          <w:szCs w:val="24"/>
        </w:rPr>
        <w:t xml:space="preserve"> their measures and valuation criteria with the objective to make a set of indicators a ‘standard’ in the indicator market. In this sense, the epistemic tensions in poverty measurement are not a ‘moment’ of valuation (Berthoin-Antal et al., 2015), but an enduring property and engine for valuation that is linked to the strategic agency of IOs</w:t>
      </w:r>
      <w:r w:rsidR="00982A95">
        <w:rPr>
          <w:rFonts w:ascii="Times New Roman" w:hAnsi="Times New Roman" w:cs="Times New Roman"/>
          <w:sz w:val="24"/>
          <w:szCs w:val="24"/>
        </w:rPr>
        <w:t>.</w:t>
      </w:r>
      <w:r w:rsidR="00982A95">
        <w:rPr>
          <w:rFonts w:ascii="Times New Roman" w:eastAsia="Garamond" w:hAnsi="Times New Roman" w:cs="Times New Roman"/>
          <w:b/>
          <w:sz w:val="24"/>
          <w:szCs w:val="24"/>
        </w:rPr>
        <w:br w:type="page"/>
      </w:r>
    </w:p>
    <w:p w14:paraId="0B48FC0B" w14:textId="6B162E7F" w:rsidR="00A55B28" w:rsidRPr="00982A95" w:rsidRDefault="00A55B28" w:rsidP="00982A95">
      <w:pPr>
        <w:spacing w:line="360" w:lineRule="auto"/>
        <w:jc w:val="both"/>
        <w:rPr>
          <w:rFonts w:ascii="Times New Roman" w:hAnsi="Times New Roman" w:cs="Times New Roman"/>
          <w:sz w:val="24"/>
          <w:szCs w:val="24"/>
        </w:rPr>
      </w:pPr>
      <w:r w:rsidRPr="00A55B28">
        <w:rPr>
          <w:rFonts w:ascii="Times New Roman" w:eastAsia="Garamond" w:hAnsi="Times New Roman" w:cs="Times New Roman"/>
          <w:b/>
          <w:sz w:val="24"/>
          <w:szCs w:val="24"/>
        </w:rPr>
        <w:lastRenderedPageBreak/>
        <w:t>Bibliography</w:t>
      </w:r>
    </w:p>
    <w:p w14:paraId="09F9E3AD" w14:textId="50B493BB"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rPr>
        <w:t xml:space="preserve">Atkinson, A.B. (2016). </w:t>
      </w:r>
      <w:r w:rsidRPr="00A55B28">
        <w:rPr>
          <w:rFonts w:ascii="Times New Roman" w:eastAsia="Garamond" w:hAnsi="Times New Roman" w:cs="Times New Roman"/>
          <w:i/>
          <w:sz w:val="24"/>
          <w:szCs w:val="24"/>
        </w:rPr>
        <w:t>Monitoring global poverty</w:t>
      </w:r>
      <w:r w:rsidRPr="00A55B28">
        <w:rPr>
          <w:rFonts w:ascii="Times New Roman" w:eastAsia="Garamond" w:hAnsi="Times New Roman" w:cs="Times New Roman"/>
          <w:sz w:val="24"/>
          <w:szCs w:val="24"/>
        </w:rPr>
        <w:t>. </w:t>
      </w:r>
      <w:r w:rsidR="00BF6700" w:rsidRPr="00A55B28">
        <w:rPr>
          <w:rFonts w:ascii="Times New Roman" w:eastAsia="Garamond" w:hAnsi="Times New Roman" w:cs="Times New Roman"/>
          <w:iCs/>
          <w:sz w:val="24"/>
          <w:szCs w:val="24"/>
        </w:rPr>
        <w:t>Washington</w:t>
      </w:r>
      <w:r w:rsidR="00BF6700">
        <w:rPr>
          <w:rFonts w:ascii="Times New Roman" w:eastAsia="Garamond" w:hAnsi="Times New Roman" w:cs="Times New Roman"/>
          <w:iCs/>
          <w:sz w:val="24"/>
          <w:szCs w:val="24"/>
        </w:rPr>
        <w:t>:</w:t>
      </w:r>
      <w:r w:rsidR="00BF6700" w:rsidRPr="00A55B28">
        <w:rPr>
          <w:rFonts w:ascii="Times New Roman" w:eastAsia="Garamond" w:hAnsi="Times New Roman" w:cs="Times New Roman"/>
          <w:iCs/>
          <w:sz w:val="24"/>
          <w:szCs w:val="24"/>
        </w:rPr>
        <w:t xml:space="preserve"> </w:t>
      </w:r>
      <w:r w:rsidR="00BF6700">
        <w:rPr>
          <w:rFonts w:ascii="Times New Roman" w:eastAsia="Garamond" w:hAnsi="Times New Roman" w:cs="Times New Roman"/>
          <w:iCs/>
          <w:sz w:val="24"/>
          <w:szCs w:val="24"/>
        </w:rPr>
        <w:t>The World Bank</w:t>
      </w:r>
      <w:r w:rsidRPr="00A55B28">
        <w:rPr>
          <w:rFonts w:ascii="Times New Roman" w:eastAsia="Garamond" w:hAnsi="Times New Roman" w:cs="Times New Roman"/>
          <w:sz w:val="24"/>
          <w:szCs w:val="24"/>
        </w:rPr>
        <w:t>.</w:t>
      </w:r>
    </w:p>
    <w:p w14:paraId="52A027BB"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Barry, A. (2012). Political situations: Knowledge controversies in transnational governance. </w:t>
      </w:r>
      <w:r w:rsidRPr="00A55B28">
        <w:rPr>
          <w:rFonts w:ascii="Times New Roman" w:eastAsia="Garamond" w:hAnsi="Times New Roman" w:cs="Times New Roman"/>
          <w:i/>
          <w:iCs/>
          <w:sz w:val="24"/>
          <w:szCs w:val="24"/>
          <w:lang w:val="en-US"/>
        </w:rPr>
        <w:t>Critical Policy Studies</w:t>
      </w:r>
      <w:r w:rsidRPr="00A55B28">
        <w:rPr>
          <w:rFonts w:ascii="Times New Roman" w:eastAsia="Garamond" w:hAnsi="Times New Roman" w:cs="Times New Roman"/>
          <w:sz w:val="24"/>
          <w:szCs w:val="24"/>
          <w:lang w:val="en-US"/>
        </w:rPr>
        <w:t xml:space="preserve">, </w:t>
      </w:r>
      <w:r w:rsidRPr="00BF6700">
        <w:rPr>
          <w:rFonts w:ascii="Times New Roman" w:eastAsia="Garamond" w:hAnsi="Times New Roman" w:cs="Times New Roman"/>
          <w:iCs/>
          <w:sz w:val="24"/>
          <w:szCs w:val="24"/>
          <w:lang w:val="en-US"/>
        </w:rPr>
        <w:t>6</w:t>
      </w:r>
      <w:r w:rsidRPr="00A55B28">
        <w:rPr>
          <w:rFonts w:ascii="Times New Roman" w:eastAsia="Garamond" w:hAnsi="Times New Roman" w:cs="Times New Roman"/>
          <w:sz w:val="24"/>
          <w:szCs w:val="24"/>
          <w:lang w:val="en-US"/>
        </w:rPr>
        <w:t xml:space="preserve">(3), 324-336. </w:t>
      </w:r>
    </w:p>
    <w:p w14:paraId="65212080" w14:textId="13C54C7E"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Beckert, J., &amp; Aspers, P. (Eds.) (2011). </w:t>
      </w:r>
      <w:r w:rsidRPr="00A55B28">
        <w:rPr>
          <w:rFonts w:ascii="Times New Roman" w:eastAsia="Garamond" w:hAnsi="Times New Roman" w:cs="Times New Roman"/>
          <w:i/>
          <w:sz w:val="24"/>
          <w:szCs w:val="24"/>
          <w:lang w:val="en-US"/>
        </w:rPr>
        <w:t>The worth of Goods</w:t>
      </w:r>
      <w:r w:rsidRPr="00A55B28">
        <w:rPr>
          <w:rFonts w:ascii="Times New Roman" w:eastAsia="Garamond" w:hAnsi="Times New Roman" w:cs="Times New Roman"/>
          <w:sz w:val="24"/>
          <w:szCs w:val="24"/>
          <w:lang w:val="en-US"/>
        </w:rPr>
        <w:t xml:space="preserve">. Oxford: Oxford University Press. </w:t>
      </w:r>
    </w:p>
    <w:p w14:paraId="42E8BA19"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Berthoin-Antal, A., Hutter, M., &amp; Stark, D. (2015). </w:t>
      </w:r>
      <w:r w:rsidRPr="00A55B28">
        <w:rPr>
          <w:rFonts w:ascii="Times New Roman" w:eastAsia="Garamond" w:hAnsi="Times New Roman" w:cs="Times New Roman"/>
          <w:i/>
          <w:iCs/>
          <w:sz w:val="24"/>
          <w:szCs w:val="24"/>
          <w:lang w:val="en-US"/>
        </w:rPr>
        <w:t>Moments of Valuation: Exploring Sites of Dissonance</w:t>
      </w:r>
      <w:r w:rsidRPr="00A55B28">
        <w:rPr>
          <w:rFonts w:ascii="Times New Roman" w:eastAsia="Garamond" w:hAnsi="Times New Roman" w:cs="Times New Roman"/>
          <w:sz w:val="24"/>
          <w:szCs w:val="24"/>
          <w:lang w:val="en-US"/>
        </w:rPr>
        <w:t>. Oxford: Oxford University Press.</w:t>
      </w:r>
    </w:p>
    <w:p w14:paraId="753824A0"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Bosworth, K. (2017). Thinking permeable matter through feminist geophilosophy: Environmental knowledge controversy and the materiality of hydrogeologic processes. </w:t>
      </w:r>
      <w:r w:rsidRPr="00A55B28">
        <w:rPr>
          <w:rFonts w:ascii="Times New Roman" w:eastAsia="Garamond" w:hAnsi="Times New Roman" w:cs="Times New Roman"/>
          <w:i/>
          <w:sz w:val="24"/>
          <w:szCs w:val="24"/>
          <w:lang w:val="en-US"/>
        </w:rPr>
        <w:t>Environment and Planning D: Society and Space</w:t>
      </w:r>
      <w:r w:rsidRPr="00A55B28">
        <w:rPr>
          <w:rFonts w:ascii="Times New Roman" w:eastAsia="Garamond" w:hAnsi="Times New Roman" w:cs="Times New Roman"/>
          <w:sz w:val="24"/>
          <w:szCs w:val="24"/>
          <w:lang w:val="en-US"/>
        </w:rPr>
        <w:t>, 35(1), 21-37.</w:t>
      </w:r>
    </w:p>
    <w:p w14:paraId="05E1FC46"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Callon, M. (1998). Introduction: The Embeddedness of Economic Markets in Economics. </w:t>
      </w:r>
      <w:r w:rsidRPr="00A55B28">
        <w:rPr>
          <w:rFonts w:ascii="Times New Roman" w:eastAsia="Garamond" w:hAnsi="Times New Roman" w:cs="Times New Roman"/>
          <w:i/>
          <w:iCs/>
          <w:sz w:val="24"/>
          <w:szCs w:val="24"/>
          <w:lang w:val="en-US"/>
        </w:rPr>
        <w:t>The Sociological Review</w:t>
      </w:r>
      <w:r w:rsidRPr="00A55B28">
        <w:rPr>
          <w:rFonts w:ascii="Times New Roman" w:eastAsia="Garamond" w:hAnsi="Times New Roman" w:cs="Times New Roman"/>
          <w:sz w:val="24"/>
          <w:szCs w:val="24"/>
          <w:lang w:val="en-US"/>
        </w:rPr>
        <w:t>, 46(1), 1-57.</w:t>
      </w:r>
    </w:p>
    <w:p w14:paraId="5D4DE0EB"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Carolan, M.S. (2008). The Bright- and Blind-Spots of Science: Why Objective Knowledge is not enough to Resolve Environmental Controversies. </w:t>
      </w:r>
      <w:r w:rsidRPr="00A55B28">
        <w:rPr>
          <w:rFonts w:ascii="Times New Roman" w:eastAsia="Garamond" w:hAnsi="Times New Roman" w:cs="Times New Roman"/>
          <w:i/>
          <w:sz w:val="24"/>
          <w:szCs w:val="24"/>
          <w:lang w:val="en-US"/>
        </w:rPr>
        <w:t>Critical Sociology</w:t>
      </w:r>
      <w:r w:rsidRPr="00A55B28">
        <w:rPr>
          <w:rFonts w:ascii="Times New Roman" w:eastAsia="Garamond" w:hAnsi="Times New Roman" w:cs="Times New Roman"/>
          <w:sz w:val="24"/>
          <w:szCs w:val="24"/>
          <w:lang w:val="en-US"/>
        </w:rPr>
        <w:t>, 34(5), 725-740.</w:t>
      </w:r>
    </w:p>
    <w:p w14:paraId="0FBA7629"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Chilvers, J. (2008). Environmental Risk, Uncertainty, and Participation: Mapping an Emergent Epistemic Community. </w:t>
      </w:r>
      <w:r w:rsidRPr="00A55B28">
        <w:rPr>
          <w:rFonts w:ascii="Times New Roman" w:eastAsia="Garamond" w:hAnsi="Times New Roman" w:cs="Times New Roman"/>
          <w:i/>
          <w:sz w:val="24"/>
          <w:szCs w:val="24"/>
          <w:lang w:val="en-US"/>
        </w:rPr>
        <w:t>Environment and Planning A: Economy and Space</w:t>
      </w:r>
      <w:r w:rsidRPr="00A55B28">
        <w:rPr>
          <w:rFonts w:ascii="Times New Roman" w:eastAsia="Garamond" w:hAnsi="Times New Roman" w:cs="Times New Roman"/>
          <w:sz w:val="24"/>
          <w:szCs w:val="24"/>
          <w:lang w:val="en-US"/>
        </w:rPr>
        <w:t>, 40(12), 2990–3008.</w:t>
      </w:r>
    </w:p>
    <w:p w14:paraId="7F53ADC0"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Davies, W. (2014). </w:t>
      </w:r>
      <w:r w:rsidRPr="00A55B28">
        <w:rPr>
          <w:rFonts w:ascii="Times New Roman" w:eastAsia="Garamond" w:hAnsi="Times New Roman" w:cs="Times New Roman"/>
          <w:i/>
          <w:sz w:val="24"/>
          <w:szCs w:val="24"/>
          <w:lang w:val="en-US"/>
        </w:rPr>
        <w:t>The Limits of Neoliberalism: Authority, Sovereignty and the Logic of Competition</w:t>
      </w:r>
      <w:r w:rsidRPr="00A55B28">
        <w:rPr>
          <w:rFonts w:ascii="Times New Roman" w:eastAsia="Garamond" w:hAnsi="Times New Roman" w:cs="Times New Roman"/>
          <w:sz w:val="24"/>
          <w:szCs w:val="24"/>
          <w:lang w:val="en-US"/>
        </w:rPr>
        <w:t xml:space="preserve">. London: SAGE. </w:t>
      </w:r>
    </w:p>
    <w:p w14:paraId="483D9B0E" w14:textId="34A7FF90" w:rsidR="00A55B28" w:rsidRPr="00A55B28" w:rsidRDefault="00A55B2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55B28">
        <w:rPr>
          <w:rFonts w:ascii="Times New Roman" w:hAnsi="Times New Roman" w:cs="Times New Roman"/>
          <w:noProof/>
          <w:sz w:val="24"/>
          <w:szCs w:val="24"/>
        </w:rPr>
        <w:t xml:space="preserve">Daviter, F. (2019). Policy analysis in the face of complexity: What kind of knowledge to tackle wicked problems? </w:t>
      </w:r>
      <w:r w:rsidRPr="00A55B28">
        <w:rPr>
          <w:rFonts w:ascii="Times New Roman" w:hAnsi="Times New Roman" w:cs="Times New Roman"/>
          <w:i/>
          <w:iCs/>
          <w:noProof/>
          <w:sz w:val="24"/>
          <w:szCs w:val="24"/>
        </w:rPr>
        <w:t>Public Policy and Administration</w:t>
      </w:r>
      <w:r w:rsidRPr="00A55B28">
        <w:rPr>
          <w:rFonts w:ascii="Times New Roman" w:hAnsi="Times New Roman" w:cs="Times New Roman"/>
          <w:noProof/>
          <w:sz w:val="24"/>
          <w:szCs w:val="24"/>
        </w:rPr>
        <w:t xml:space="preserve">, </w:t>
      </w:r>
      <w:r w:rsidRPr="00BF6700">
        <w:rPr>
          <w:rFonts w:ascii="Times New Roman" w:hAnsi="Times New Roman" w:cs="Times New Roman"/>
          <w:iCs/>
          <w:noProof/>
          <w:sz w:val="24"/>
          <w:szCs w:val="24"/>
        </w:rPr>
        <w:t>34</w:t>
      </w:r>
      <w:r w:rsidR="00BF6700">
        <w:rPr>
          <w:rFonts w:ascii="Times New Roman" w:hAnsi="Times New Roman" w:cs="Times New Roman"/>
          <w:noProof/>
          <w:sz w:val="24"/>
          <w:szCs w:val="24"/>
        </w:rPr>
        <w:t>(1), 62-</w:t>
      </w:r>
      <w:r w:rsidRPr="00A55B28">
        <w:rPr>
          <w:rFonts w:ascii="Times New Roman" w:hAnsi="Times New Roman" w:cs="Times New Roman"/>
          <w:noProof/>
          <w:sz w:val="24"/>
          <w:szCs w:val="24"/>
        </w:rPr>
        <w:t>83.</w:t>
      </w:r>
    </w:p>
    <w:p w14:paraId="7E724F1C"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Desroisères, A. (1998). </w:t>
      </w:r>
      <w:r w:rsidRPr="00A55B28">
        <w:rPr>
          <w:rFonts w:ascii="Times New Roman" w:eastAsia="Garamond" w:hAnsi="Times New Roman" w:cs="Times New Roman"/>
          <w:i/>
          <w:sz w:val="24"/>
          <w:szCs w:val="24"/>
          <w:lang w:val="en-US"/>
        </w:rPr>
        <w:t>The politics of large numbers</w:t>
      </w:r>
      <w:r w:rsidRPr="00A55B28">
        <w:rPr>
          <w:rFonts w:ascii="Times New Roman" w:eastAsia="Garamond" w:hAnsi="Times New Roman" w:cs="Times New Roman"/>
          <w:sz w:val="24"/>
          <w:szCs w:val="24"/>
          <w:lang w:val="en-US"/>
        </w:rPr>
        <w:t xml:space="preserve">. Cambridge: Harvard University Press. </w:t>
      </w:r>
    </w:p>
    <w:p w14:paraId="0251DC03"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Desroisères, A. (2015). Retroaction: How indicators feed back onto quantified actors. In Rottenburg, et al. (Eds.). </w:t>
      </w:r>
      <w:r w:rsidRPr="00A55B28">
        <w:rPr>
          <w:rFonts w:ascii="Times New Roman" w:eastAsia="Garamond" w:hAnsi="Times New Roman" w:cs="Times New Roman"/>
          <w:i/>
          <w:sz w:val="24"/>
          <w:szCs w:val="24"/>
          <w:lang w:val="en-US"/>
        </w:rPr>
        <w:t>The World of Indicators. The Making of Governmental Knowledge through Quantification</w:t>
      </w:r>
      <w:r w:rsidRPr="00A55B28">
        <w:rPr>
          <w:rFonts w:ascii="Times New Roman" w:eastAsia="Garamond" w:hAnsi="Times New Roman" w:cs="Times New Roman"/>
          <w:sz w:val="24"/>
          <w:szCs w:val="24"/>
          <w:lang w:val="en-US"/>
        </w:rPr>
        <w:t xml:space="preserve">. Cambridge: Cambridge University Press, 329-353. </w:t>
      </w:r>
    </w:p>
    <w:p w14:paraId="197215DD"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Doganova, L., Giraudeau, M., Helgesson, C., Kjellberg, H, Lee, F., Mallard, A., Mennicken, A., Muniesa, F., Sjorgen, E., &amp; Zuiderent-Jerak, T. (2014). Valuation studies and the critique of valuation. </w:t>
      </w:r>
      <w:r w:rsidRPr="00A55B28">
        <w:rPr>
          <w:rFonts w:ascii="Times New Roman" w:eastAsia="Garamond" w:hAnsi="Times New Roman" w:cs="Times New Roman"/>
          <w:i/>
          <w:iCs/>
          <w:sz w:val="24"/>
          <w:szCs w:val="24"/>
          <w:lang w:val="en-US"/>
        </w:rPr>
        <w:t>Valuation Studies</w:t>
      </w:r>
      <w:r w:rsidRPr="00A55B28">
        <w:rPr>
          <w:rFonts w:ascii="Times New Roman" w:eastAsia="Garamond" w:hAnsi="Times New Roman" w:cs="Times New Roman"/>
          <w:sz w:val="24"/>
          <w:szCs w:val="24"/>
          <w:lang w:val="en-US"/>
        </w:rPr>
        <w:t xml:space="preserve"> 2(2), 87-96. </w:t>
      </w:r>
    </w:p>
    <w:p w14:paraId="48BD90A9" w14:textId="02C0D30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it-IT"/>
        </w:rPr>
      </w:pPr>
      <w:r w:rsidRPr="00A55B28">
        <w:rPr>
          <w:rFonts w:ascii="Times New Roman" w:eastAsia="Garamond" w:hAnsi="Times New Roman" w:cs="Times New Roman"/>
          <w:sz w:val="24"/>
          <w:szCs w:val="24"/>
          <w:lang w:val="it-IT"/>
        </w:rPr>
        <w:t xml:space="preserve">Donaldson, A., Ward, N., &amp; Bradley, S. (2010). Mess among Disciplines: Interdisciplinarity in Environmental Research. </w:t>
      </w:r>
      <w:r w:rsidRPr="00A55B28">
        <w:rPr>
          <w:rFonts w:ascii="Times New Roman" w:eastAsia="Garamond" w:hAnsi="Times New Roman" w:cs="Times New Roman"/>
          <w:i/>
          <w:sz w:val="24"/>
          <w:szCs w:val="24"/>
          <w:lang w:val="it-IT"/>
        </w:rPr>
        <w:t>Environment and Planning A: Economy and Space</w:t>
      </w:r>
      <w:r w:rsidRPr="00A55B28">
        <w:rPr>
          <w:rFonts w:ascii="Times New Roman" w:eastAsia="Garamond" w:hAnsi="Times New Roman" w:cs="Times New Roman"/>
          <w:sz w:val="24"/>
          <w:szCs w:val="24"/>
          <w:lang w:val="it-IT"/>
        </w:rPr>
        <w:t>, 42(7), 1521–1536.</w:t>
      </w:r>
    </w:p>
    <w:p w14:paraId="60A3CEBF" w14:textId="77777777" w:rsidR="00A55B28" w:rsidRPr="00A55B28" w:rsidRDefault="00A55B2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55B28">
        <w:rPr>
          <w:rFonts w:ascii="Times New Roman" w:hAnsi="Times New Roman" w:cs="Times New Roman"/>
          <w:noProof/>
          <w:sz w:val="24"/>
          <w:szCs w:val="24"/>
        </w:rPr>
        <w:t xml:space="preserve">Fochler, M. (2016). Variants of Epistemic Capitalism: Knowledge Production and the Accumulation of Worth in Commercial Biotechnology and the Academic Life Sciences. </w:t>
      </w:r>
      <w:r w:rsidRPr="00A55B28">
        <w:rPr>
          <w:rFonts w:ascii="Times New Roman" w:hAnsi="Times New Roman" w:cs="Times New Roman"/>
          <w:i/>
          <w:iCs/>
          <w:noProof/>
          <w:sz w:val="24"/>
          <w:szCs w:val="24"/>
        </w:rPr>
        <w:t>Science Technology and Human Values</w:t>
      </w:r>
      <w:r w:rsidRPr="00A55B28">
        <w:rPr>
          <w:rFonts w:ascii="Times New Roman" w:hAnsi="Times New Roman" w:cs="Times New Roman"/>
          <w:noProof/>
          <w:sz w:val="24"/>
          <w:szCs w:val="24"/>
        </w:rPr>
        <w:t xml:space="preserve">, </w:t>
      </w:r>
      <w:r w:rsidRPr="00BF6700">
        <w:rPr>
          <w:rFonts w:ascii="Times New Roman" w:hAnsi="Times New Roman" w:cs="Times New Roman"/>
          <w:iCs/>
          <w:noProof/>
          <w:sz w:val="24"/>
          <w:szCs w:val="24"/>
        </w:rPr>
        <w:t>41</w:t>
      </w:r>
      <w:r w:rsidRPr="00A55B28">
        <w:rPr>
          <w:rFonts w:ascii="Times New Roman" w:hAnsi="Times New Roman" w:cs="Times New Roman"/>
          <w:noProof/>
          <w:sz w:val="24"/>
          <w:szCs w:val="24"/>
        </w:rPr>
        <w:t xml:space="preserve">(5), 922–948. </w:t>
      </w:r>
    </w:p>
    <w:p w14:paraId="073F4F61"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eastAsia="en-GB"/>
        </w:rPr>
        <w:lastRenderedPageBreak/>
        <w:t xml:space="preserve">Gatzweiler, M.K., &amp; Ronzani, M. (2019). Prospective sensemaking and thinking infrastructures in a large-scale humanitarian crisis. </w:t>
      </w:r>
      <w:r w:rsidRPr="00A55B28">
        <w:rPr>
          <w:rFonts w:ascii="Times New Roman" w:eastAsia="Garamond" w:hAnsi="Times New Roman" w:cs="Times New Roman"/>
          <w:i/>
          <w:iCs/>
          <w:sz w:val="24"/>
          <w:szCs w:val="24"/>
          <w:lang w:val="en-US" w:eastAsia="en-GB"/>
        </w:rPr>
        <w:t>Research in the Sociology of Organizations</w:t>
      </w:r>
      <w:r w:rsidRPr="00A55B28">
        <w:rPr>
          <w:rFonts w:ascii="Times New Roman" w:eastAsia="Garamond" w:hAnsi="Times New Roman" w:cs="Times New Roman"/>
          <w:sz w:val="24"/>
          <w:szCs w:val="24"/>
          <w:lang w:val="en-US" w:eastAsia="en-GB"/>
        </w:rPr>
        <w:t xml:space="preserve">, 62, 85-122. </w:t>
      </w:r>
    </w:p>
    <w:p w14:paraId="22D4F57C" w14:textId="4A0C9691" w:rsidR="00A55B28" w:rsidRPr="00A55B28" w:rsidRDefault="00A55B28" w:rsidP="00A55B28">
      <w:pPr>
        <w:spacing w:after="200" w:line="256" w:lineRule="auto"/>
        <w:ind w:left="720" w:hanging="720"/>
        <w:jc w:val="both"/>
        <w:rPr>
          <w:rFonts w:ascii="Times New Roman" w:eastAsia="Garamond" w:hAnsi="Times New Roman" w:cs="Times New Roman"/>
          <w:sz w:val="24"/>
          <w:szCs w:val="24"/>
        </w:rPr>
      </w:pPr>
      <w:r w:rsidRPr="00A55B28">
        <w:rPr>
          <w:rFonts w:ascii="Times New Roman" w:eastAsia="Garamond" w:hAnsi="Times New Roman" w:cs="Times New Roman"/>
          <w:sz w:val="24"/>
          <w:szCs w:val="24"/>
        </w:rPr>
        <w:t xml:space="preserve">Gehman, J., Trevino, L., &amp; Garud, R. (2013). Values work: A process study of the emergence and performance of organizational values. </w:t>
      </w:r>
      <w:r w:rsidRPr="00A55B28">
        <w:rPr>
          <w:rFonts w:ascii="Times New Roman" w:eastAsia="Garamond" w:hAnsi="Times New Roman" w:cs="Times New Roman"/>
          <w:i/>
          <w:sz w:val="24"/>
          <w:szCs w:val="24"/>
        </w:rPr>
        <w:t>Academy of Management Journal</w:t>
      </w:r>
      <w:r w:rsidR="00BF6700">
        <w:rPr>
          <w:rFonts w:ascii="Times New Roman" w:eastAsia="Garamond" w:hAnsi="Times New Roman" w:cs="Times New Roman"/>
          <w:sz w:val="24"/>
          <w:szCs w:val="24"/>
        </w:rPr>
        <w:t>, 56</w:t>
      </w:r>
      <w:r w:rsidRPr="00A55B28">
        <w:rPr>
          <w:rFonts w:ascii="Times New Roman" w:eastAsia="Garamond" w:hAnsi="Times New Roman" w:cs="Times New Roman"/>
          <w:sz w:val="24"/>
          <w:szCs w:val="24"/>
        </w:rPr>
        <w:t>(1), 84-112.</w:t>
      </w:r>
    </w:p>
    <w:p w14:paraId="5EDA6731" w14:textId="5EDE35F0"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rPr>
        <w:t>Gordon, D., &amp; Nandy, S. (2012). Measuring child poverty and deprivation. </w:t>
      </w:r>
      <w:r w:rsidRPr="00A55B28">
        <w:rPr>
          <w:rFonts w:ascii="Times New Roman" w:eastAsia="Garamond" w:hAnsi="Times New Roman" w:cs="Times New Roman"/>
          <w:i/>
          <w:iCs/>
          <w:sz w:val="24"/>
          <w:szCs w:val="24"/>
        </w:rPr>
        <w:t>Glob</w:t>
      </w:r>
      <w:r w:rsidR="006168C5">
        <w:rPr>
          <w:rFonts w:ascii="Times New Roman" w:eastAsia="Garamond" w:hAnsi="Times New Roman" w:cs="Times New Roman"/>
          <w:i/>
          <w:iCs/>
          <w:sz w:val="24"/>
          <w:szCs w:val="24"/>
        </w:rPr>
        <w:t>al child poverty and well-being</w:t>
      </w:r>
      <w:r w:rsidRPr="00A55B28">
        <w:rPr>
          <w:rFonts w:ascii="Times New Roman" w:eastAsia="Garamond" w:hAnsi="Times New Roman" w:cs="Times New Roman"/>
          <w:sz w:val="24"/>
          <w:szCs w:val="24"/>
        </w:rPr>
        <w:t>, 57-101.</w:t>
      </w:r>
    </w:p>
    <w:p w14:paraId="056601CB"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t xml:space="preserve">Grundmann, R., &amp; Stehr, N. (2012). </w:t>
      </w:r>
      <w:r w:rsidRPr="00A55B28">
        <w:rPr>
          <w:rFonts w:ascii="Times New Roman" w:eastAsia="Garamond" w:hAnsi="Times New Roman" w:cs="Times New Roman"/>
          <w:i/>
          <w:iCs/>
          <w:sz w:val="24"/>
          <w:szCs w:val="24"/>
          <w:lang w:val="en-US" w:eastAsia="en-GB"/>
        </w:rPr>
        <w:t>The Power of Scientific Knowledge: From Research to Public Policy.</w:t>
      </w:r>
      <w:r w:rsidRPr="00A55B28">
        <w:rPr>
          <w:rFonts w:ascii="Times New Roman" w:eastAsia="Garamond" w:hAnsi="Times New Roman" w:cs="Times New Roman"/>
          <w:sz w:val="24"/>
          <w:szCs w:val="24"/>
          <w:lang w:val="en-US" w:eastAsia="en-GB"/>
        </w:rPr>
        <w:t xml:space="preserve"> Cambridge: Cambridge University Press. </w:t>
      </w:r>
    </w:p>
    <w:p w14:paraId="355F6B97"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Helgesson, C.F, &amp; Muniesa, F. (2013). For what’s worth: An introduction to valuation studies. </w:t>
      </w:r>
      <w:r w:rsidRPr="00A55B28">
        <w:rPr>
          <w:rFonts w:ascii="Times New Roman" w:eastAsia="Garamond" w:hAnsi="Times New Roman" w:cs="Times New Roman"/>
          <w:i/>
          <w:sz w:val="24"/>
          <w:szCs w:val="24"/>
          <w:lang w:val="en-US"/>
        </w:rPr>
        <w:t>Valuation Studies</w:t>
      </w:r>
      <w:r w:rsidRPr="00A55B28">
        <w:rPr>
          <w:rFonts w:ascii="Times New Roman" w:eastAsia="Garamond" w:hAnsi="Times New Roman" w:cs="Times New Roman"/>
          <w:sz w:val="24"/>
          <w:szCs w:val="24"/>
          <w:lang w:val="en-US"/>
        </w:rPr>
        <w:t xml:space="preserve">, 1(1), 1-10. </w:t>
      </w:r>
    </w:p>
    <w:p w14:paraId="28AF4517" w14:textId="20D62AC8" w:rsidR="00A55B28" w:rsidRPr="00A55B28" w:rsidRDefault="00A55B2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55B28">
        <w:rPr>
          <w:rFonts w:ascii="Times New Roman" w:hAnsi="Times New Roman" w:cs="Times New Roman"/>
          <w:noProof/>
          <w:sz w:val="24"/>
          <w:szCs w:val="24"/>
        </w:rPr>
        <w:t xml:space="preserve">Hessels, L. K., Franssen, T., Scholten, W., &amp; de Rijcke, S. (2019). Variation in Valuation: How Research Groups Accumulate Credibility in Four Epistemic Cultures. </w:t>
      </w:r>
      <w:r w:rsidRPr="00A55B28">
        <w:rPr>
          <w:rFonts w:ascii="Times New Roman" w:hAnsi="Times New Roman" w:cs="Times New Roman"/>
          <w:i/>
          <w:iCs/>
          <w:noProof/>
          <w:sz w:val="24"/>
          <w:szCs w:val="24"/>
        </w:rPr>
        <w:t>Minerva</w:t>
      </w:r>
      <w:r w:rsidRPr="00A55B28">
        <w:rPr>
          <w:rFonts w:ascii="Times New Roman" w:hAnsi="Times New Roman" w:cs="Times New Roman"/>
          <w:noProof/>
          <w:sz w:val="24"/>
          <w:szCs w:val="24"/>
        </w:rPr>
        <w:t xml:space="preserve">, </w:t>
      </w:r>
      <w:r w:rsidRPr="00BF6700">
        <w:rPr>
          <w:rFonts w:ascii="Times New Roman" w:hAnsi="Times New Roman" w:cs="Times New Roman"/>
          <w:iCs/>
          <w:noProof/>
          <w:sz w:val="24"/>
          <w:szCs w:val="24"/>
        </w:rPr>
        <w:t>57</w:t>
      </w:r>
      <w:r w:rsidR="00BF6700">
        <w:rPr>
          <w:rFonts w:ascii="Times New Roman" w:hAnsi="Times New Roman" w:cs="Times New Roman"/>
          <w:noProof/>
          <w:sz w:val="24"/>
          <w:szCs w:val="24"/>
        </w:rPr>
        <w:t>(2).</w:t>
      </w:r>
      <w:r w:rsidRPr="00A55B28">
        <w:rPr>
          <w:rFonts w:ascii="Times New Roman" w:hAnsi="Times New Roman" w:cs="Times New Roman"/>
          <w:noProof/>
          <w:sz w:val="24"/>
          <w:szCs w:val="24"/>
        </w:rPr>
        <w:t xml:space="preserve"> </w:t>
      </w:r>
    </w:p>
    <w:p w14:paraId="66FA56E6"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Knorr-Cetina, K. (1999). </w:t>
      </w:r>
      <w:r w:rsidRPr="00A55B28">
        <w:rPr>
          <w:rFonts w:ascii="Times New Roman" w:eastAsia="Garamond" w:hAnsi="Times New Roman" w:cs="Times New Roman"/>
          <w:i/>
          <w:sz w:val="24"/>
          <w:szCs w:val="24"/>
          <w:lang w:val="en-US"/>
        </w:rPr>
        <w:t>Epistemic cultures</w:t>
      </w:r>
      <w:r w:rsidRPr="00A55B28">
        <w:rPr>
          <w:rFonts w:ascii="Times New Roman" w:eastAsia="Garamond" w:hAnsi="Times New Roman" w:cs="Times New Roman"/>
          <w:sz w:val="24"/>
          <w:szCs w:val="24"/>
          <w:lang w:val="en-US"/>
        </w:rPr>
        <w:t>. Cambridge: Harvard University Press.</w:t>
      </w:r>
    </w:p>
    <w:p w14:paraId="2CE4A3B3"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rPr>
        <w:t xml:space="preserve">Kornberger, M. (2017). The Values of Strategy: Valuation Practices, Rivalry and Strategic Agency. </w:t>
      </w:r>
      <w:r w:rsidRPr="00A55B28">
        <w:rPr>
          <w:rFonts w:ascii="Times New Roman" w:eastAsia="Garamond" w:hAnsi="Times New Roman" w:cs="Times New Roman"/>
          <w:i/>
          <w:iCs/>
          <w:sz w:val="24"/>
          <w:szCs w:val="24"/>
          <w:lang w:val="en-US"/>
        </w:rPr>
        <w:t>Organization Studies</w:t>
      </w:r>
      <w:r w:rsidRPr="00A55B28">
        <w:rPr>
          <w:rFonts w:ascii="Times New Roman" w:eastAsia="Garamond" w:hAnsi="Times New Roman" w:cs="Times New Roman"/>
          <w:sz w:val="24"/>
          <w:szCs w:val="24"/>
          <w:lang w:val="en-US"/>
        </w:rPr>
        <w:t>, 38(12), 1753-1773.</w:t>
      </w:r>
    </w:p>
    <w:p w14:paraId="5A68E451" w14:textId="77777777" w:rsidR="00A55B28" w:rsidRPr="00A55B28" w:rsidRDefault="00A55B28" w:rsidP="00A55B28">
      <w:pPr>
        <w:spacing w:after="200"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Kornberger, M., Justesen, L., Madsen, A.K., &amp; Mouritsen, J. (Eds.) (2015). </w:t>
      </w:r>
      <w:r w:rsidRPr="00A55B28">
        <w:rPr>
          <w:rFonts w:ascii="Times New Roman" w:eastAsia="Garamond" w:hAnsi="Times New Roman" w:cs="Times New Roman"/>
          <w:i/>
          <w:iCs/>
          <w:sz w:val="24"/>
          <w:szCs w:val="24"/>
          <w:lang w:val="en-US"/>
        </w:rPr>
        <w:t>Making Things Valuable</w:t>
      </w:r>
      <w:r w:rsidRPr="00A55B28">
        <w:rPr>
          <w:rFonts w:ascii="Times New Roman" w:eastAsia="Garamond" w:hAnsi="Times New Roman" w:cs="Times New Roman"/>
          <w:sz w:val="24"/>
          <w:szCs w:val="24"/>
          <w:lang w:val="en-US"/>
        </w:rPr>
        <w:t>. New York: Oxford University Press.</w:t>
      </w:r>
    </w:p>
    <w:p w14:paraId="050BCC8C"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t xml:space="preserve">Lamont, M. (2012).  Toward a comparative sociology of valuation and evaluation. </w:t>
      </w:r>
      <w:r w:rsidRPr="00A55B28">
        <w:rPr>
          <w:rFonts w:ascii="Times New Roman" w:eastAsia="Garamond" w:hAnsi="Times New Roman" w:cs="Times New Roman"/>
          <w:i/>
          <w:iCs/>
          <w:sz w:val="24"/>
          <w:szCs w:val="24"/>
          <w:lang w:val="en-US" w:eastAsia="en-GB"/>
        </w:rPr>
        <w:t>Annual Review of Sociology</w:t>
      </w:r>
      <w:r w:rsidRPr="00A55B28">
        <w:rPr>
          <w:rFonts w:ascii="Times New Roman" w:eastAsia="Garamond" w:hAnsi="Times New Roman" w:cs="Times New Roman"/>
          <w:sz w:val="24"/>
          <w:szCs w:val="24"/>
          <w:lang w:val="en-US" w:eastAsia="en-GB"/>
        </w:rPr>
        <w:t>, 21, 1-21.</w:t>
      </w:r>
    </w:p>
    <w:p w14:paraId="30B2D786" w14:textId="5EA982BB"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t>Landström, C., Whatmore, S.J., Lane, S. N.,</w:t>
      </w:r>
      <w:r w:rsidR="00C405E5">
        <w:rPr>
          <w:rFonts w:ascii="Times New Roman" w:eastAsia="Garamond" w:hAnsi="Times New Roman" w:cs="Times New Roman"/>
          <w:sz w:val="24"/>
          <w:szCs w:val="24"/>
          <w:lang w:val="en-US" w:eastAsia="en-GB"/>
        </w:rPr>
        <w:t xml:space="preserve"> </w:t>
      </w:r>
      <w:r w:rsidRPr="00A55B28">
        <w:rPr>
          <w:rFonts w:ascii="Times New Roman" w:eastAsia="Garamond" w:hAnsi="Times New Roman" w:cs="Times New Roman"/>
          <w:sz w:val="24"/>
          <w:szCs w:val="24"/>
          <w:lang w:val="en-US" w:eastAsia="en-GB"/>
        </w:rPr>
        <w:t xml:space="preserve">Odoni, N.A., Ward, N., &amp; Bradley, S. (2011). Coproducing Flood Risk Knowledge: Redistributing Expertise in Critical ‘Participatory Modelling’. </w:t>
      </w:r>
      <w:r w:rsidRPr="00A55B28">
        <w:rPr>
          <w:rFonts w:ascii="Times New Roman" w:eastAsia="Garamond" w:hAnsi="Times New Roman" w:cs="Times New Roman"/>
          <w:i/>
          <w:sz w:val="24"/>
          <w:szCs w:val="24"/>
          <w:lang w:val="en-US" w:eastAsia="en-GB"/>
        </w:rPr>
        <w:t>Environment and Planning A: Economy and Space</w:t>
      </w:r>
      <w:r w:rsidRPr="00A55B28">
        <w:rPr>
          <w:rFonts w:ascii="Times New Roman" w:eastAsia="Garamond" w:hAnsi="Times New Roman" w:cs="Times New Roman"/>
          <w:sz w:val="24"/>
          <w:szCs w:val="24"/>
          <w:lang w:val="en-US" w:eastAsia="en-GB"/>
        </w:rPr>
        <w:t xml:space="preserve">, 43(7), 1617-1633. </w:t>
      </w:r>
    </w:p>
    <w:p w14:paraId="58030027"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t xml:space="preserve">Latour, B. (1987). </w:t>
      </w:r>
      <w:r w:rsidRPr="00A55B28">
        <w:rPr>
          <w:rFonts w:ascii="Times New Roman" w:eastAsia="Garamond" w:hAnsi="Times New Roman" w:cs="Times New Roman"/>
          <w:i/>
          <w:sz w:val="24"/>
          <w:szCs w:val="24"/>
          <w:lang w:val="en-US" w:eastAsia="en-GB"/>
        </w:rPr>
        <w:t>Science in Action</w:t>
      </w:r>
      <w:r w:rsidRPr="00A55B28">
        <w:rPr>
          <w:rFonts w:ascii="Times New Roman" w:eastAsia="Garamond" w:hAnsi="Times New Roman" w:cs="Times New Roman"/>
          <w:sz w:val="24"/>
          <w:szCs w:val="24"/>
          <w:lang w:val="en-US" w:eastAsia="en-GB"/>
        </w:rPr>
        <w:t>. Cambridge: Harvard University Press.</w:t>
      </w:r>
    </w:p>
    <w:p w14:paraId="091782F8" w14:textId="77777777" w:rsidR="00A55B28" w:rsidRPr="00A55B28" w:rsidRDefault="00A55B2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55B28">
        <w:rPr>
          <w:rFonts w:ascii="Times New Roman" w:hAnsi="Times New Roman" w:cs="Times New Roman"/>
          <w:noProof/>
          <w:sz w:val="24"/>
          <w:szCs w:val="24"/>
        </w:rPr>
        <w:t xml:space="preserve">Lee, F., &amp; Helgesson, C. F. (2019). Styles of Valuation: Algorithms and Agency in High-throughput Bioscience. </w:t>
      </w:r>
      <w:r w:rsidRPr="00A55B28">
        <w:rPr>
          <w:rFonts w:ascii="Times New Roman" w:hAnsi="Times New Roman" w:cs="Times New Roman"/>
          <w:i/>
          <w:iCs/>
          <w:noProof/>
          <w:sz w:val="24"/>
          <w:szCs w:val="24"/>
        </w:rPr>
        <w:t>Science Technology and Human Values</w:t>
      </w:r>
      <w:r w:rsidRPr="00A55B28">
        <w:rPr>
          <w:rFonts w:ascii="Times New Roman" w:hAnsi="Times New Roman" w:cs="Times New Roman"/>
          <w:noProof/>
          <w:sz w:val="24"/>
          <w:szCs w:val="24"/>
        </w:rPr>
        <w:t xml:space="preserve">, 1–27. </w:t>
      </w:r>
    </w:p>
    <w:p w14:paraId="51C51A7E" w14:textId="6D2C4EC7" w:rsidR="00BC5AF0" w:rsidRDefault="00BC5AF0"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LeGrand, J. (2003). </w:t>
      </w:r>
      <w:r w:rsidRPr="00BC5AF0">
        <w:rPr>
          <w:rFonts w:ascii="Times New Roman" w:hAnsi="Times New Roman" w:cs="Times New Roman"/>
          <w:i/>
          <w:noProof/>
          <w:sz w:val="24"/>
          <w:szCs w:val="24"/>
        </w:rPr>
        <w:t>Motiva</w:t>
      </w:r>
      <w:r w:rsidR="006168C5">
        <w:rPr>
          <w:rFonts w:ascii="Times New Roman" w:hAnsi="Times New Roman" w:cs="Times New Roman"/>
          <w:i/>
          <w:noProof/>
          <w:sz w:val="24"/>
          <w:szCs w:val="24"/>
        </w:rPr>
        <w:t>tion, Agency, and Public Policy</w:t>
      </w:r>
      <w:r>
        <w:rPr>
          <w:rFonts w:ascii="Times New Roman" w:hAnsi="Times New Roman" w:cs="Times New Roman"/>
          <w:noProof/>
          <w:sz w:val="24"/>
          <w:szCs w:val="24"/>
        </w:rPr>
        <w:t xml:space="preserve">. Oxford: Oxford University Press. </w:t>
      </w:r>
    </w:p>
    <w:p w14:paraId="660829DA" w14:textId="28FECB2C" w:rsidR="00A55B28" w:rsidRPr="00A55B28" w:rsidRDefault="00A55B2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55B28">
        <w:rPr>
          <w:rFonts w:ascii="Times New Roman" w:hAnsi="Times New Roman" w:cs="Times New Roman"/>
          <w:noProof/>
          <w:sz w:val="24"/>
          <w:szCs w:val="24"/>
        </w:rPr>
        <w:t xml:space="preserve">Martin, B., &amp; Richards, E. (1995). Scientific knowledge, controversy, and public decision-making. </w:t>
      </w:r>
      <w:r w:rsidRPr="00A55B28">
        <w:rPr>
          <w:rFonts w:ascii="Times New Roman" w:hAnsi="Times New Roman" w:cs="Times New Roman"/>
          <w:i/>
          <w:iCs/>
          <w:noProof/>
          <w:sz w:val="24"/>
          <w:szCs w:val="24"/>
        </w:rPr>
        <w:t>Handbook of Science and Technology Studies</w:t>
      </w:r>
      <w:r w:rsidRPr="00A55B28">
        <w:rPr>
          <w:rFonts w:ascii="Times New Roman" w:hAnsi="Times New Roman" w:cs="Times New Roman"/>
          <w:noProof/>
          <w:sz w:val="24"/>
          <w:szCs w:val="24"/>
        </w:rPr>
        <w:t xml:space="preserve">, </w:t>
      </w:r>
      <w:r w:rsidRPr="00BF6700">
        <w:rPr>
          <w:rFonts w:ascii="Times New Roman" w:hAnsi="Times New Roman" w:cs="Times New Roman"/>
          <w:iCs/>
          <w:noProof/>
          <w:sz w:val="24"/>
          <w:szCs w:val="24"/>
        </w:rPr>
        <w:t>506</w:t>
      </w:r>
      <w:r w:rsidRPr="00A55B28">
        <w:rPr>
          <w:rFonts w:ascii="Times New Roman" w:hAnsi="Times New Roman" w:cs="Times New Roman"/>
          <w:noProof/>
          <w:sz w:val="24"/>
          <w:szCs w:val="24"/>
        </w:rPr>
        <w:t>, 26.</w:t>
      </w:r>
    </w:p>
    <w:p w14:paraId="623A6E27"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t xml:space="preserve">Mehrpouya, A., &amp; Samiolo, R. (2016). Performance measurement in global governance: Ranking and the politics of variability. </w:t>
      </w:r>
      <w:r w:rsidRPr="00A55B28">
        <w:rPr>
          <w:rFonts w:ascii="Times New Roman" w:eastAsia="Garamond" w:hAnsi="Times New Roman" w:cs="Times New Roman"/>
          <w:i/>
          <w:iCs/>
          <w:sz w:val="24"/>
          <w:szCs w:val="24"/>
          <w:lang w:val="en-US" w:eastAsia="en-GB"/>
        </w:rPr>
        <w:t>Accounting, Organizations and Society</w:t>
      </w:r>
      <w:r w:rsidRPr="00A55B28">
        <w:rPr>
          <w:rFonts w:ascii="Times New Roman" w:eastAsia="Garamond" w:hAnsi="Times New Roman" w:cs="Times New Roman"/>
          <w:sz w:val="24"/>
          <w:szCs w:val="24"/>
          <w:lang w:val="en-US" w:eastAsia="en-GB"/>
        </w:rPr>
        <w:t xml:space="preserve">, </w:t>
      </w:r>
      <w:r w:rsidRPr="00A74DF8">
        <w:rPr>
          <w:rFonts w:ascii="Times New Roman" w:eastAsia="Garamond" w:hAnsi="Times New Roman" w:cs="Times New Roman"/>
          <w:iCs/>
          <w:sz w:val="24"/>
          <w:szCs w:val="24"/>
          <w:lang w:val="en-US" w:eastAsia="en-GB"/>
        </w:rPr>
        <w:t>55</w:t>
      </w:r>
      <w:r w:rsidRPr="00A74DF8">
        <w:rPr>
          <w:rFonts w:ascii="Times New Roman" w:eastAsia="Garamond" w:hAnsi="Times New Roman" w:cs="Times New Roman"/>
          <w:sz w:val="24"/>
          <w:szCs w:val="24"/>
          <w:lang w:val="en-US" w:eastAsia="en-GB"/>
        </w:rPr>
        <w:t>,</w:t>
      </w:r>
      <w:r w:rsidRPr="00A55B28">
        <w:rPr>
          <w:rFonts w:ascii="Times New Roman" w:eastAsia="Garamond" w:hAnsi="Times New Roman" w:cs="Times New Roman"/>
          <w:sz w:val="24"/>
          <w:szCs w:val="24"/>
          <w:lang w:val="en-US" w:eastAsia="en-GB"/>
        </w:rPr>
        <w:t xml:space="preserve"> 12-31. </w:t>
      </w:r>
    </w:p>
    <w:p w14:paraId="7E47BAFA" w14:textId="3C92345A" w:rsidR="00B80B35" w:rsidRDefault="00B80B35"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B80B35">
        <w:rPr>
          <w:rFonts w:ascii="Times New Roman" w:eastAsia="Garamond" w:hAnsi="Times New Roman" w:cs="Times New Roman"/>
          <w:sz w:val="24"/>
          <w:szCs w:val="24"/>
          <w:lang w:val="en-US" w:eastAsia="en-GB"/>
        </w:rPr>
        <w:t xml:space="preserve">Mennicken, A., &amp; Espeland, W. N. (2019). What's New with Numbers? Sociological Approaches to the Study of Quantification. </w:t>
      </w:r>
      <w:r w:rsidRPr="00B80B35">
        <w:rPr>
          <w:rFonts w:ascii="Times New Roman" w:eastAsia="Garamond" w:hAnsi="Times New Roman" w:cs="Times New Roman"/>
          <w:i/>
          <w:sz w:val="24"/>
          <w:szCs w:val="24"/>
          <w:lang w:val="en-US" w:eastAsia="en-GB"/>
        </w:rPr>
        <w:t>Annual Review of Sociology</w:t>
      </w:r>
      <w:r w:rsidRPr="00B80B35">
        <w:rPr>
          <w:rFonts w:ascii="Times New Roman" w:eastAsia="Garamond" w:hAnsi="Times New Roman" w:cs="Times New Roman"/>
          <w:sz w:val="24"/>
          <w:szCs w:val="24"/>
          <w:lang w:val="en-US" w:eastAsia="en-GB"/>
        </w:rPr>
        <w:t>, 45, 223-245.</w:t>
      </w:r>
    </w:p>
    <w:p w14:paraId="10D232EE" w14:textId="1E505E1B"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eastAsia="en-GB"/>
        </w:rPr>
      </w:pPr>
      <w:r w:rsidRPr="00A55B28">
        <w:rPr>
          <w:rFonts w:ascii="Times New Roman" w:eastAsia="Garamond" w:hAnsi="Times New Roman" w:cs="Times New Roman"/>
          <w:sz w:val="24"/>
          <w:szCs w:val="24"/>
          <w:lang w:val="en-US" w:eastAsia="en-GB"/>
        </w:rPr>
        <w:lastRenderedPageBreak/>
        <w:t xml:space="preserve">Merry, S.E. (2011). Measuring the world: Indicators, human rights, and global governance. </w:t>
      </w:r>
      <w:r w:rsidRPr="00A55B28">
        <w:rPr>
          <w:rFonts w:ascii="Times New Roman" w:eastAsia="Garamond" w:hAnsi="Times New Roman" w:cs="Times New Roman"/>
          <w:i/>
          <w:sz w:val="24"/>
          <w:szCs w:val="24"/>
          <w:lang w:val="en-US" w:eastAsia="en-GB"/>
        </w:rPr>
        <w:t>Current Anthropology</w:t>
      </w:r>
      <w:r w:rsidR="00BF6700">
        <w:rPr>
          <w:rFonts w:ascii="Times New Roman" w:eastAsia="Garamond" w:hAnsi="Times New Roman" w:cs="Times New Roman"/>
          <w:sz w:val="24"/>
          <w:szCs w:val="24"/>
          <w:lang w:val="en-US" w:eastAsia="en-GB"/>
        </w:rPr>
        <w:t>, 52</w:t>
      </w:r>
      <w:r w:rsidRPr="00A55B28">
        <w:rPr>
          <w:rFonts w:ascii="Times New Roman" w:eastAsia="Garamond" w:hAnsi="Times New Roman" w:cs="Times New Roman"/>
          <w:sz w:val="24"/>
          <w:szCs w:val="24"/>
          <w:lang w:val="en-US" w:eastAsia="en-GB"/>
        </w:rPr>
        <w:t xml:space="preserve">(3), S83-S95. </w:t>
      </w:r>
    </w:p>
    <w:p w14:paraId="6AF890ED" w14:textId="7AC31976" w:rsid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Nelkin, D. (1995). Science controversies: The dynamics of public disputes in the United States. </w:t>
      </w:r>
      <w:r w:rsidRPr="00A55B28">
        <w:rPr>
          <w:rFonts w:ascii="Times New Roman" w:eastAsia="Garamond" w:hAnsi="Times New Roman" w:cs="Times New Roman"/>
          <w:i/>
          <w:iCs/>
          <w:sz w:val="24"/>
          <w:szCs w:val="24"/>
          <w:lang w:val="en-US"/>
        </w:rPr>
        <w:t>Handbook of Science and Technology Studies</w:t>
      </w:r>
      <w:r w:rsidRPr="00A55B28">
        <w:rPr>
          <w:rFonts w:ascii="Times New Roman" w:eastAsia="Garamond" w:hAnsi="Times New Roman" w:cs="Times New Roman"/>
          <w:sz w:val="24"/>
          <w:szCs w:val="24"/>
          <w:lang w:val="en-US"/>
        </w:rPr>
        <w:t xml:space="preserve">, </w:t>
      </w:r>
      <w:r w:rsidRPr="00A55B28">
        <w:rPr>
          <w:rFonts w:ascii="Times New Roman" w:eastAsia="Garamond" w:hAnsi="Times New Roman" w:cs="Times New Roman"/>
          <w:iCs/>
          <w:sz w:val="24"/>
          <w:szCs w:val="24"/>
          <w:lang w:val="en-US"/>
        </w:rPr>
        <w:t>444</w:t>
      </w:r>
      <w:r w:rsidRPr="00A55B28">
        <w:rPr>
          <w:rFonts w:ascii="Times New Roman" w:eastAsia="Garamond" w:hAnsi="Times New Roman" w:cs="Times New Roman"/>
          <w:sz w:val="24"/>
          <w:szCs w:val="24"/>
          <w:lang w:val="en-US"/>
        </w:rPr>
        <w:t>-456.</w:t>
      </w:r>
    </w:p>
    <w:p w14:paraId="5CDCC457" w14:textId="3634DE44"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color w:val="000000" w:themeColor="text1"/>
          <w:sz w:val="24"/>
          <w:szCs w:val="24"/>
          <w:lang w:val="en-US"/>
        </w:rPr>
        <w:t xml:space="preserve">Porter, T. (1995) </w:t>
      </w:r>
      <w:r w:rsidR="006168C5">
        <w:rPr>
          <w:rFonts w:ascii="Times New Roman" w:eastAsia="Garamond" w:hAnsi="Times New Roman" w:cs="Times New Roman"/>
          <w:i/>
          <w:iCs/>
          <w:color w:val="000000" w:themeColor="text1"/>
          <w:sz w:val="24"/>
          <w:szCs w:val="24"/>
          <w:lang w:val="en-US"/>
        </w:rPr>
        <w:t>Trust in Numbers</w:t>
      </w:r>
      <w:r w:rsidRPr="00A55B28">
        <w:rPr>
          <w:rFonts w:ascii="Times New Roman" w:eastAsia="Garamond" w:hAnsi="Times New Roman" w:cs="Times New Roman"/>
          <w:color w:val="000000" w:themeColor="text1"/>
          <w:sz w:val="24"/>
          <w:szCs w:val="24"/>
          <w:lang w:val="en-US"/>
        </w:rPr>
        <w:t>.  Princeton: Princeton University Press.</w:t>
      </w:r>
    </w:p>
    <w:p w14:paraId="1C651B58" w14:textId="1323CA00"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color w:val="000000" w:themeColor="text1"/>
          <w:sz w:val="24"/>
          <w:szCs w:val="24"/>
          <w:lang w:val="en-US"/>
        </w:rPr>
      </w:pPr>
      <w:r w:rsidRPr="00A55B28">
        <w:rPr>
          <w:rFonts w:ascii="Times New Roman" w:eastAsia="Garamond" w:hAnsi="Times New Roman" w:cs="Times New Roman"/>
          <w:color w:val="000000" w:themeColor="text1"/>
          <w:sz w:val="24"/>
          <w:szCs w:val="24"/>
          <w:lang w:val="en-US"/>
        </w:rPr>
        <w:t xml:space="preserve">Power, M. (1997). </w:t>
      </w:r>
      <w:r w:rsidR="006168C5">
        <w:rPr>
          <w:rFonts w:ascii="Times New Roman" w:eastAsia="Garamond" w:hAnsi="Times New Roman" w:cs="Times New Roman"/>
          <w:i/>
          <w:iCs/>
          <w:color w:val="000000" w:themeColor="text1"/>
          <w:sz w:val="24"/>
          <w:szCs w:val="24"/>
          <w:lang w:val="en-US"/>
        </w:rPr>
        <w:t>The Audit Society</w:t>
      </w:r>
      <w:r w:rsidRPr="00A55B28">
        <w:rPr>
          <w:rFonts w:ascii="Times New Roman" w:eastAsia="Garamond" w:hAnsi="Times New Roman" w:cs="Times New Roman"/>
          <w:color w:val="000000" w:themeColor="text1"/>
          <w:sz w:val="24"/>
          <w:szCs w:val="24"/>
          <w:lang w:val="en-US"/>
        </w:rPr>
        <w:t>. Oxford: Oxford University Press.</w:t>
      </w:r>
    </w:p>
    <w:p w14:paraId="6DD6BB5C"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Preda, A. (2017). </w:t>
      </w:r>
      <w:r w:rsidRPr="00A55B28">
        <w:rPr>
          <w:rFonts w:ascii="Times New Roman" w:eastAsia="Garamond" w:hAnsi="Times New Roman" w:cs="Times New Roman"/>
          <w:i/>
          <w:sz w:val="24"/>
          <w:szCs w:val="24"/>
          <w:lang w:val="en-US"/>
        </w:rPr>
        <w:t>Noise: Living and Trading in Electronic Finance</w:t>
      </w:r>
      <w:r w:rsidRPr="00A55B28">
        <w:rPr>
          <w:rFonts w:ascii="Times New Roman" w:eastAsia="Garamond" w:hAnsi="Times New Roman" w:cs="Times New Roman"/>
          <w:sz w:val="24"/>
          <w:szCs w:val="24"/>
          <w:lang w:val="en-US"/>
        </w:rPr>
        <w:t xml:space="preserve">. Chicago: University of Chicago Press. </w:t>
      </w:r>
    </w:p>
    <w:p w14:paraId="61DEA1B2"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Quattrone, P. (2015). Value in the age of doubt: Accounting as a maieutic machine. In: Kornberger, M., et al. (Eds.) (2015). </w:t>
      </w:r>
      <w:r w:rsidRPr="00A55B28">
        <w:rPr>
          <w:rFonts w:ascii="Times New Roman" w:eastAsia="Garamond" w:hAnsi="Times New Roman" w:cs="Times New Roman"/>
          <w:i/>
          <w:sz w:val="24"/>
          <w:szCs w:val="24"/>
          <w:lang w:val="en-US"/>
        </w:rPr>
        <w:t>Making Things Valuable</w:t>
      </w:r>
      <w:r w:rsidRPr="00A55B28">
        <w:rPr>
          <w:rFonts w:ascii="Times New Roman" w:eastAsia="Garamond" w:hAnsi="Times New Roman" w:cs="Times New Roman"/>
          <w:sz w:val="24"/>
          <w:szCs w:val="24"/>
          <w:lang w:val="en-US"/>
        </w:rPr>
        <w:t>. New York: Oxford University Press, 38-61.</w:t>
      </w:r>
    </w:p>
    <w:p w14:paraId="34EE0B72"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Rottenburg, R., Merry, S.E., Park, S., &amp; Mugler, J. (Eds.) (2015). </w:t>
      </w:r>
      <w:r w:rsidRPr="00A55B28">
        <w:rPr>
          <w:rFonts w:ascii="Times New Roman" w:eastAsia="Garamond" w:hAnsi="Times New Roman" w:cs="Times New Roman"/>
          <w:i/>
          <w:iCs/>
          <w:sz w:val="24"/>
          <w:szCs w:val="24"/>
          <w:lang w:val="en-US"/>
        </w:rPr>
        <w:t>The World of Indicators. The Making of Governmental Knowledge through Quantification</w:t>
      </w:r>
      <w:r w:rsidRPr="00A55B28">
        <w:rPr>
          <w:rFonts w:ascii="Times New Roman" w:eastAsia="Garamond" w:hAnsi="Times New Roman" w:cs="Times New Roman"/>
          <w:sz w:val="24"/>
          <w:szCs w:val="24"/>
          <w:lang w:val="en-US"/>
        </w:rPr>
        <w:t xml:space="preserve">. Cambridge: Cambridge University Press. </w:t>
      </w:r>
    </w:p>
    <w:p w14:paraId="2B39EFD4"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Sarewitz, D. (2001). How science makes environmental controversies worse. </w:t>
      </w:r>
      <w:r w:rsidRPr="00A55B28">
        <w:rPr>
          <w:rFonts w:ascii="Times New Roman" w:eastAsia="Garamond" w:hAnsi="Times New Roman" w:cs="Times New Roman"/>
          <w:i/>
          <w:sz w:val="24"/>
          <w:szCs w:val="24"/>
          <w:lang w:val="en-US"/>
        </w:rPr>
        <w:t>Environmental Science &amp; Policy</w:t>
      </w:r>
      <w:r w:rsidRPr="00A55B28">
        <w:rPr>
          <w:rFonts w:ascii="Times New Roman" w:eastAsia="Garamond" w:hAnsi="Times New Roman" w:cs="Times New Roman"/>
          <w:sz w:val="24"/>
          <w:szCs w:val="24"/>
          <w:lang w:val="en-US"/>
        </w:rPr>
        <w:t>, 7(5), 385-403.</w:t>
      </w:r>
    </w:p>
    <w:p w14:paraId="68B26291"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Scheel, S., &amp; Ustek-Spilda, F. (2019). The politics of expertise and ignorance in the field of migration management. </w:t>
      </w:r>
      <w:r w:rsidRPr="00A55B28">
        <w:rPr>
          <w:rFonts w:ascii="Times New Roman" w:eastAsia="Garamond" w:hAnsi="Times New Roman" w:cs="Times New Roman"/>
          <w:i/>
          <w:sz w:val="24"/>
          <w:szCs w:val="24"/>
          <w:lang w:val="en-US"/>
        </w:rPr>
        <w:t>Environment and Planning D: Society and Space</w:t>
      </w:r>
      <w:r w:rsidRPr="00A55B28">
        <w:rPr>
          <w:rFonts w:ascii="Times New Roman" w:eastAsia="Garamond" w:hAnsi="Times New Roman" w:cs="Times New Roman"/>
          <w:sz w:val="24"/>
          <w:szCs w:val="24"/>
          <w:lang w:val="en-US"/>
        </w:rPr>
        <w:t>, 37 (4), 663-681.</w:t>
      </w:r>
    </w:p>
    <w:p w14:paraId="2BE192DC" w14:textId="49EA3776" w:rsidR="00303C8F" w:rsidRDefault="00303C8F"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303C8F">
        <w:rPr>
          <w:rFonts w:ascii="Times New Roman" w:eastAsia="Garamond" w:hAnsi="Times New Roman" w:cs="Times New Roman"/>
          <w:sz w:val="24"/>
          <w:szCs w:val="24"/>
          <w:lang w:val="en-US"/>
        </w:rPr>
        <w:t xml:space="preserve">Simmel, G. (2008). Sociology of Competition. </w:t>
      </w:r>
      <w:r w:rsidRPr="00303C8F">
        <w:rPr>
          <w:rFonts w:ascii="Times New Roman" w:eastAsia="Garamond" w:hAnsi="Times New Roman" w:cs="Times New Roman"/>
          <w:i/>
          <w:sz w:val="24"/>
          <w:szCs w:val="24"/>
          <w:lang w:val="en-US"/>
        </w:rPr>
        <w:t>Canadian Journal of Sociology</w:t>
      </w:r>
      <w:r w:rsidRPr="00303C8F">
        <w:rPr>
          <w:rFonts w:ascii="Times New Roman" w:eastAsia="Garamond" w:hAnsi="Times New Roman" w:cs="Times New Roman"/>
          <w:sz w:val="24"/>
          <w:szCs w:val="24"/>
          <w:lang w:val="en-US"/>
        </w:rPr>
        <w:t>, 33(4), 957.</w:t>
      </w:r>
    </w:p>
    <w:p w14:paraId="4E86C037" w14:textId="78D86219" w:rsidR="00A55B28" w:rsidRPr="00A55B28" w:rsidRDefault="00A74DF8" w:rsidP="00A55B2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St. Clair, A.</w:t>
      </w:r>
      <w:r w:rsidR="00A55B28" w:rsidRPr="00A55B28">
        <w:rPr>
          <w:rFonts w:ascii="Times New Roman" w:hAnsi="Times New Roman" w:cs="Times New Roman"/>
          <w:noProof/>
          <w:sz w:val="24"/>
          <w:szCs w:val="24"/>
        </w:rPr>
        <w:t xml:space="preserve">L. (2006). Global poverty: The co-production of knowledge and politics. </w:t>
      </w:r>
      <w:r w:rsidR="00A55B28" w:rsidRPr="00A55B28">
        <w:rPr>
          <w:rFonts w:ascii="Times New Roman" w:hAnsi="Times New Roman" w:cs="Times New Roman"/>
          <w:i/>
          <w:iCs/>
          <w:noProof/>
          <w:sz w:val="24"/>
          <w:szCs w:val="24"/>
        </w:rPr>
        <w:t>Global Social Policy</w:t>
      </w:r>
      <w:r w:rsidR="00A55B28" w:rsidRPr="00A55B28">
        <w:rPr>
          <w:rFonts w:ascii="Times New Roman" w:hAnsi="Times New Roman" w:cs="Times New Roman"/>
          <w:noProof/>
          <w:sz w:val="24"/>
          <w:szCs w:val="24"/>
        </w:rPr>
        <w:t xml:space="preserve">, </w:t>
      </w:r>
      <w:r w:rsidR="00A55B28" w:rsidRPr="00BF6700">
        <w:rPr>
          <w:rFonts w:ascii="Times New Roman" w:hAnsi="Times New Roman" w:cs="Times New Roman"/>
          <w:iCs/>
          <w:noProof/>
          <w:sz w:val="24"/>
          <w:szCs w:val="24"/>
        </w:rPr>
        <w:t>6</w:t>
      </w:r>
      <w:r w:rsidR="00A55B28" w:rsidRPr="00A55B28">
        <w:rPr>
          <w:rFonts w:ascii="Times New Roman" w:hAnsi="Times New Roman" w:cs="Times New Roman"/>
          <w:noProof/>
          <w:sz w:val="24"/>
          <w:szCs w:val="24"/>
        </w:rPr>
        <w:t xml:space="preserve">(1), 57–77. </w:t>
      </w:r>
    </w:p>
    <w:p w14:paraId="2288DFD7"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Stark, D. (2009). </w:t>
      </w:r>
      <w:r w:rsidRPr="00A55B28">
        <w:rPr>
          <w:rFonts w:ascii="Times New Roman" w:eastAsia="Garamond" w:hAnsi="Times New Roman" w:cs="Times New Roman"/>
          <w:i/>
          <w:iCs/>
          <w:sz w:val="24"/>
          <w:szCs w:val="24"/>
          <w:lang w:val="en-US"/>
        </w:rPr>
        <w:t>The sense of dissonance: Accounts of worth in economic life</w:t>
      </w:r>
      <w:r w:rsidRPr="00A55B28">
        <w:rPr>
          <w:rFonts w:ascii="Times New Roman" w:eastAsia="Garamond" w:hAnsi="Times New Roman" w:cs="Times New Roman"/>
          <w:sz w:val="24"/>
          <w:szCs w:val="24"/>
          <w:lang w:val="en-US"/>
        </w:rPr>
        <w:t xml:space="preserve">. Princeton: Princeton University Press. </w:t>
      </w:r>
    </w:p>
    <w:p w14:paraId="77FFF71F" w14:textId="5CA08B71"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Stark, D. (2011). What’s valuable? In Beckert, J., &amp; Aspers, P. (Eds.). </w:t>
      </w:r>
      <w:r w:rsidR="006168C5">
        <w:rPr>
          <w:rFonts w:ascii="Times New Roman" w:eastAsia="Garamond" w:hAnsi="Times New Roman" w:cs="Times New Roman"/>
          <w:i/>
          <w:sz w:val="24"/>
          <w:szCs w:val="24"/>
          <w:lang w:val="en-US"/>
        </w:rPr>
        <w:t>The worth of Goods</w:t>
      </w:r>
      <w:r w:rsidRPr="00A55B28">
        <w:rPr>
          <w:rFonts w:ascii="Times New Roman" w:eastAsia="Garamond" w:hAnsi="Times New Roman" w:cs="Times New Roman"/>
          <w:sz w:val="24"/>
          <w:szCs w:val="24"/>
          <w:lang w:val="en-US"/>
        </w:rPr>
        <w:t xml:space="preserve">. Oxford: Oxford University Press, 319-339. </w:t>
      </w:r>
    </w:p>
    <w:p w14:paraId="31B84D0F"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Vatin, F. (2013). Valuation as evaluating and valorizing. </w:t>
      </w:r>
      <w:r w:rsidRPr="00A55B28">
        <w:rPr>
          <w:rFonts w:ascii="Times New Roman" w:eastAsia="Garamond" w:hAnsi="Times New Roman" w:cs="Times New Roman"/>
          <w:i/>
          <w:iCs/>
          <w:sz w:val="24"/>
          <w:szCs w:val="24"/>
          <w:lang w:val="en-US"/>
        </w:rPr>
        <w:t>Valuation Studies</w:t>
      </w:r>
      <w:r w:rsidRPr="00A55B28">
        <w:rPr>
          <w:rFonts w:ascii="Times New Roman" w:eastAsia="Garamond" w:hAnsi="Times New Roman" w:cs="Times New Roman"/>
          <w:sz w:val="24"/>
          <w:szCs w:val="24"/>
          <w:lang w:val="en-US"/>
        </w:rPr>
        <w:t xml:space="preserve">, 1(1), 31-50. </w:t>
      </w:r>
    </w:p>
    <w:p w14:paraId="06710867"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Vaughan, D. (1999). The Role of the Organization in the Production of Techno-Scientific Knowledge. </w:t>
      </w:r>
      <w:r w:rsidRPr="00A55B28">
        <w:rPr>
          <w:rFonts w:ascii="Times New Roman" w:eastAsia="Garamond" w:hAnsi="Times New Roman" w:cs="Times New Roman"/>
          <w:i/>
          <w:sz w:val="24"/>
          <w:szCs w:val="24"/>
          <w:lang w:val="en-US"/>
        </w:rPr>
        <w:t>Social Studies of Science</w:t>
      </w:r>
      <w:r w:rsidRPr="00A55B28">
        <w:rPr>
          <w:rFonts w:ascii="Times New Roman" w:eastAsia="Garamond" w:hAnsi="Times New Roman" w:cs="Times New Roman"/>
          <w:sz w:val="24"/>
          <w:szCs w:val="24"/>
          <w:lang w:val="en-US"/>
        </w:rPr>
        <w:t>, 29(6), 913-943.</w:t>
      </w:r>
    </w:p>
    <w:p w14:paraId="395C03A0"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t xml:space="preserve">Werron, T. (2015). Why do we believe in competition? A historical-sociological view of competition as an institutionalized modern imaginary. </w:t>
      </w:r>
      <w:r w:rsidRPr="00A55B28">
        <w:rPr>
          <w:rFonts w:ascii="Times New Roman" w:eastAsia="Garamond" w:hAnsi="Times New Roman" w:cs="Times New Roman"/>
          <w:i/>
          <w:sz w:val="24"/>
          <w:szCs w:val="24"/>
          <w:lang w:val="en-US"/>
        </w:rPr>
        <w:t>Distinktion: Journal of Social Theory</w:t>
      </w:r>
      <w:r w:rsidRPr="00A55B28">
        <w:rPr>
          <w:rFonts w:ascii="Times New Roman" w:eastAsia="Garamond" w:hAnsi="Times New Roman" w:cs="Times New Roman"/>
          <w:sz w:val="24"/>
          <w:szCs w:val="24"/>
          <w:lang w:val="en-US"/>
        </w:rPr>
        <w:t>, 16(2), 186-210.</w:t>
      </w:r>
    </w:p>
    <w:p w14:paraId="1A03F169" w14:textId="77777777" w:rsidR="00A55B28" w:rsidRPr="00A55B28" w:rsidRDefault="00A55B28" w:rsidP="00A55B28">
      <w:pPr>
        <w:spacing w:before="100" w:beforeAutospacing="1" w:after="100" w:afterAutospacing="1" w:line="256" w:lineRule="auto"/>
        <w:ind w:left="720" w:hanging="720"/>
        <w:jc w:val="both"/>
        <w:rPr>
          <w:rFonts w:ascii="Times New Roman" w:eastAsia="Garamond" w:hAnsi="Times New Roman" w:cs="Times New Roman"/>
          <w:sz w:val="24"/>
          <w:szCs w:val="24"/>
          <w:lang w:val="en-US"/>
        </w:rPr>
      </w:pPr>
      <w:r w:rsidRPr="00A55B28">
        <w:rPr>
          <w:rFonts w:ascii="Times New Roman" w:eastAsia="Garamond" w:hAnsi="Times New Roman" w:cs="Times New Roman"/>
          <w:sz w:val="24"/>
          <w:szCs w:val="24"/>
          <w:lang w:val="en-US"/>
        </w:rPr>
        <w:lastRenderedPageBreak/>
        <w:t xml:space="preserve">Whatmore, S.J. (2009). Mapping knowledge controversies: Science, democracy and the redistribution of expertise. </w:t>
      </w:r>
      <w:r w:rsidRPr="00A55B28">
        <w:rPr>
          <w:rFonts w:ascii="Times New Roman" w:eastAsia="Garamond" w:hAnsi="Times New Roman" w:cs="Times New Roman"/>
          <w:i/>
          <w:iCs/>
          <w:sz w:val="24"/>
          <w:szCs w:val="24"/>
          <w:lang w:val="en-US"/>
        </w:rPr>
        <w:t>Progress in Human Geography</w:t>
      </w:r>
      <w:r w:rsidRPr="00A55B28">
        <w:rPr>
          <w:rFonts w:ascii="Times New Roman" w:eastAsia="Garamond" w:hAnsi="Times New Roman" w:cs="Times New Roman"/>
          <w:sz w:val="24"/>
          <w:szCs w:val="24"/>
          <w:lang w:val="en-US"/>
        </w:rPr>
        <w:t xml:space="preserve">, 33(5), 587-598. </w:t>
      </w:r>
    </w:p>
    <w:p w14:paraId="6D77D39C" w14:textId="77777777" w:rsidR="00E107B9" w:rsidRDefault="00E107B9" w:rsidP="00E107B9"/>
    <w:p w14:paraId="28FE0614" w14:textId="6D40CD47" w:rsidR="004763A8" w:rsidRDefault="004763A8"/>
    <w:sectPr w:rsidR="004763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76FA" w14:textId="77777777" w:rsidR="00CF297A" w:rsidRDefault="00CF297A" w:rsidP="00E107B9">
      <w:pPr>
        <w:spacing w:after="0" w:line="240" w:lineRule="auto"/>
      </w:pPr>
      <w:r>
        <w:separator/>
      </w:r>
    </w:p>
  </w:endnote>
  <w:endnote w:type="continuationSeparator" w:id="0">
    <w:p w14:paraId="1D394E14" w14:textId="77777777" w:rsidR="00CF297A" w:rsidRDefault="00CF297A" w:rsidP="00E1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172793"/>
      <w:docPartObj>
        <w:docPartGallery w:val="Page Numbers (Bottom of Page)"/>
        <w:docPartUnique/>
      </w:docPartObj>
    </w:sdtPr>
    <w:sdtEndPr>
      <w:rPr>
        <w:rFonts w:ascii="Times New Roman" w:hAnsi="Times New Roman" w:cs="Times New Roman"/>
        <w:noProof/>
      </w:rPr>
    </w:sdtEndPr>
    <w:sdtContent>
      <w:p w14:paraId="5202823A" w14:textId="1832F04D" w:rsidR="004B4A1C" w:rsidRPr="004B4A1C" w:rsidRDefault="004B4A1C">
        <w:pPr>
          <w:pStyle w:val="Footer"/>
          <w:jc w:val="center"/>
          <w:rPr>
            <w:rFonts w:ascii="Times New Roman" w:hAnsi="Times New Roman" w:cs="Times New Roman"/>
          </w:rPr>
        </w:pPr>
        <w:r w:rsidRPr="004B4A1C">
          <w:rPr>
            <w:rFonts w:ascii="Times New Roman" w:hAnsi="Times New Roman" w:cs="Times New Roman"/>
          </w:rPr>
          <w:fldChar w:fldCharType="begin"/>
        </w:r>
        <w:r w:rsidRPr="004B4A1C">
          <w:rPr>
            <w:rFonts w:ascii="Times New Roman" w:hAnsi="Times New Roman" w:cs="Times New Roman"/>
          </w:rPr>
          <w:instrText xml:space="preserve"> PAGE   \* MERGEFORMAT </w:instrText>
        </w:r>
        <w:r w:rsidRPr="004B4A1C">
          <w:rPr>
            <w:rFonts w:ascii="Times New Roman" w:hAnsi="Times New Roman" w:cs="Times New Roman"/>
          </w:rPr>
          <w:fldChar w:fldCharType="separate"/>
        </w:r>
        <w:r w:rsidR="0099008E">
          <w:rPr>
            <w:rFonts w:ascii="Times New Roman" w:hAnsi="Times New Roman" w:cs="Times New Roman"/>
            <w:noProof/>
          </w:rPr>
          <w:t>1</w:t>
        </w:r>
        <w:r w:rsidRPr="004B4A1C">
          <w:rPr>
            <w:rFonts w:ascii="Times New Roman" w:hAnsi="Times New Roman" w:cs="Times New Roman"/>
            <w:noProof/>
          </w:rPr>
          <w:fldChar w:fldCharType="end"/>
        </w:r>
      </w:p>
    </w:sdtContent>
  </w:sdt>
  <w:p w14:paraId="38F21AA5" w14:textId="77777777" w:rsidR="004B4A1C" w:rsidRDefault="004B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6B9D" w14:textId="77777777" w:rsidR="00CF297A" w:rsidRDefault="00CF297A" w:rsidP="00E107B9">
      <w:pPr>
        <w:spacing w:after="0" w:line="240" w:lineRule="auto"/>
      </w:pPr>
      <w:r>
        <w:separator/>
      </w:r>
    </w:p>
  </w:footnote>
  <w:footnote w:type="continuationSeparator" w:id="0">
    <w:p w14:paraId="3FEA09FC" w14:textId="77777777" w:rsidR="00CF297A" w:rsidRDefault="00CF297A" w:rsidP="00E107B9">
      <w:pPr>
        <w:spacing w:after="0" w:line="240" w:lineRule="auto"/>
      </w:pPr>
      <w:r>
        <w:continuationSeparator/>
      </w:r>
    </w:p>
  </w:footnote>
  <w:footnote w:id="1">
    <w:p w14:paraId="75991913" w14:textId="32A34FC0" w:rsidR="00E334FD" w:rsidRPr="00894550" w:rsidRDefault="00E334FD" w:rsidP="00E334FD">
      <w:pPr>
        <w:pStyle w:val="FootnoteText"/>
        <w:jc w:val="both"/>
        <w:rPr>
          <w:rFonts w:ascii="Times New Roman" w:hAnsi="Times New Roman" w:cs="Times New Roman"/>
        </w:rPr>
      </w:pPr>
      <w:r w:rsidRPr="00894550">
        <w:rPr>
          <w:rStyle w:val="FootnoteReference"/>
          <w:rFonts w:ascii="Times New Roman" w:hAnsi="Times New Roman" w:cs="Times New Roman"/>
        </w:rPr>
        <w:footnoteRef/>
      </w:r>
      <w:r w:rsidRPr="00894550">
        <w:rPr>
          <w:rFonts w:ascii="Times New Roman" w:hAnsi="Times New Roman" w:cs="Times New Roman"/>
        </w:rPr>
        <w:t xml:space="preserve"> The global poverty measurement space is particularly suitable for the exploration of the competition </w:t>
      </w:r>
      <w:r w:rsidR="00F13E32">
        <w:rPr>
          <w:rFonts w:ascii="Times New Roman" w:hAnsi="Times New Roman" w:cs="Times New Roman"/>
        </w:rPr>
        <w:t>among</w:t>
      </w:r>
      <w:r w:rsidRPr="00894550">
        <w:rPr>
          <w:rFonts w:ascii="Times New Roman" w:hAnsi="Times New Roman" w:cs="Times New Roman"/>
        </w:rPr>
        <w:t xml:space="preserve"> measures because</w:t>
      </w:r>
      <w:r w:rsidR="009B1DB6">
        <w:rPr>
          <w:rFonts w:ascii="Times New Roman" w:hAnsi="Times New Roman" w:cs="Times New Roman"/>
        </w:rPr>
        <w:t xml:space="preserve"> the multidimensional poverty measurement target (1.1.2) within the SDG1 (</w:t>
      </w:r>
      <w:r w:rsidRPr="00894550">
        <w:rPr>
          <w:rFonts w:ascii="Times New Roman" w:hAnsi="Times New Roman" w:cs="Times New Roman"/>
        </w:rPr>
        <w:t>‘Ending all poverty’</w:t>
      </w:r>
      <w:r w:rsidR="009B1DB6">
        <w:rPr>
          <w:rFonts w:ascii="Times New Roman" w:hAnsi="Times New Roman" w:cs="Times New Roman"/>
        </w:rPr>
        <w:t>)</w:t>
      </w:r>
      <w:r w:rsidRPr="00894550">
        <w:rPr>
          <w:rFonts w:ascii="Times New Roman" w:hAnsi="Times New Roman" w:cs="Times New Roman"/>
        </w:rPr>
        <w:t xml:space="preserve"> – unlike the vast majority</w:t>
      </w:r>
      <w:r w:rsidR="009B1DB6">
        <w:rPr>
          <w:rFonts w:ascii="Times New Roman" w:hAnsi="Times New Roman" w:cs="Times New Roman"/>
        </w:rPr>
        <w:t xml:space="preserve"> of targets – lacks a ‘custodian</w:t>
      </w:r>
      <w:r w:rsidRPr="00894550">
        <w:rPr>
          <w:rFonts w:ascii="Times New Roman" w:hAnsi="Times New Roman" w:cs="Times New Roman"/>
        </w:rPr>
        <w:t xml:space="preserve"> agency’ to coordinate poverty measurement </w:t>
      </w:r>
      <w:r w:rsidR="00F13E32">
        <w:rPr>
          <w:rFonts w:ascii="Times New Roman" w:hAnsi="Times New Roman" w:cs="Times New Roman"/>
        </w:rPr>
        <w:t>efforts</w:t>
      </w:r>
      <w:r w:rsidRPr="00AD63D2">
        <w:rPr>
          <w:rFonts w:ascii="Times New Roman" w:hAnsi="Times New Roman" w:cs="Times New Roman"/>
        </w:rPr>
        <w:t xml:space="preserve">. </w:t>
      </w:r>
      <w:r w:rsidR="00AD63D2">
        <w:rPr>
          <w:rFonts w:ascii="Times New Roman" w:hAnsi="Times New Roman" w:cs="Times New Roman"/>
        </w:rPr>
        <w:t xml:space="preserve">Consequently, each country makes </w:t>
      </w:r>
      <w:r w:rsidR="00F13E32">
        <w:rPr>
          <w:rFonts w:ascii="Times New Roman" w:hAnsi="Times New Roman" w:cs="Times New Roman"/>
        </w:rPr>
        <w:t xml:space="preserve">reporting </w:t>
      </w:r>
      <w:r w:rsidR="00AD63D2">
        <w:rPr>
          <w:rFonts w:ascii="Times New Roman" w:hAnsi="Times New Roman" w:cs="Times New Roman"/>
        </w:rPr>
        <w:t>decision</w:t>
      </w:r>
      <w:r w:rsidR="00F13E32">
        <w:rPr>
          <w:rFonts w:ascii="Times New Roman" w:hAnsi="Times New Roman" w:cs="Times New Roman"/>
        </w:rPr>
        <w:t>s</w:t>
      </w:r>
      <w:r w:rsidR="00AD63D2">
        <w:rPr>
          <w:rFonts w:ascii="Times New Roman" w:hAnsi="Times New Roman" w:cs="Times New Roman"/>
        </w:rPr>
        <w:t xml:space="preserve"> without any central steering.</w:t>
      </w:r>
    </w:p>
  </w:footnote>
  <w:footnote w:id="2">
    <w:p w14:paraId="0AF97D2E" w14:textId="77777777" w:rsidR="00E107B9" w:rsidRPr="0001461B" w:rsidRDefault="00E107B9" w:rsidP="00E107B9">
      <w:pPr>
        <w:pStyle w:val="FootnoteText"/>
        <w:rPr>
          <w:rFonts w:ascii="Times New Roman" w:hAnsi="Times New Roman" w:cs="Times New Roman"/>
        </w:rPr>
      </w:pPr>
      <w:r w:rsidRPr="0001461B">
        <w:rPr>
          <w:rStyle w:val="FootnoteReference"/>
          <w:rFonts w:ascii="Times New Roman" w:hAnsi="Times New Roman" w:cs="Times New Roman"/>
        </w:rPr>
        <w:footnoteRef/>
      </w:r>
      <w:r w:rsidRPr="0001461B">
        <w:rPr>
          <w:rFonts w:ascii="Times New Roman" w:hAnsi="Times New Roman" w:cs="Times New Roman"/>
        </w:rPr>
        <w:t xml:space="preserve"> See: </w:t>
      </w:r>
      <w:hyperlink r:id="rId1" w:history="1">
        <w:r w:rsidRPr="0001461B">
          <w:rPr>
            <w:rStyle w:val="Hyperlink"/>
            <w:rFonts w:ascii="Times New Roman" w:hAnsi="Times New Roman" w:cs="Times New Roman"/>
          </w:rPr>
          <w:t>https://www.unicef-irc.org/files/upload/documents/MODA_BROCHURE.pdf</w:t>
        </w:r>
      </w:hyperlink>
    </w:p>
  </w:footnote>
  <w:footnote w:id="3">
    <w:p w14:paraId="6F227083" w14:textId="4519B5BE" w:rsidR="007E0B2E" w:rsidRDefault="007E0B2E" w:rsidP="007E0B2E">
      <w:pPr>
        <w:pStyle w:val="FootnoteText"/>
        <w:jc w:val="both"/>
        <w:rPr>
          <w:rFonts w:ascii="Times New Roman" w:hAnsi="Times New Roman" w:cs="Times New Roman"/>
        </w:rPr>
      </w:pPr>
      <w:r w:rsidRPr="007E0B2E">
        <w:rPr>
          <w:rStyle w:val="FootnoteReference"/>
          <w:rFonts w:ascii="Times New Roman" w:hAnsi="Times New Roman" w:cs="Times New Roman"/>
        </w:rPr>
        <w:footnoteRef/>
      </w:r>
      <w:r w:rsidRPr="007E0B2E">
        <w:rPr>
          <w:rFonts w:ascii="Times New Roman" w:hAnsi="Times New Roman" w:cs="Times New Roman"/>
        </w:rPr>
        <w:t xml:space="preserve"> </w:t>
      </w:r>
      <w:r w:rsidR="00356D1B">
        <w:rPr>
          <w:rFonts w:ascii="Times New Roman" w:hAnsi="Times New Roman" w:cs="Times New Roman"/>
        </w:rPr>
        <w:t>B</w:t>
      </w:r>
      <w:r w:rsidRPr="007E0B2E">
        <w:rPr>
          <w:rFonts w:ascii="Times New Roman" w:hAnsi="Times New Roman" w:cs="Times New Roman"/>
        </w:rPr>
        <w:t>ecause of their background and the technocratic and expertise-driven nature of their profession, the participants had largely homogenous epistemic frameworks in relation to poverty measurement. Overall, the interviewees were aligned in their reliance on economic knowledge, in their references to measurement as the underlying basis for governing, and on their drawing on technocratic ideals of objectivity and methodological robustness as the ethos underpinning their practices.</w:t>
      </w:r>
    </w:p>
    <w:p w14:paraId="065E1571" w14:textId="77777777" w:rsidR="005534FC" w:rsidRPr="007E0B2E" w:rsidRDefault="005534FC" w:rsidP="007E0B2E">
      <w:pPr>
        <w:pStyle w:val="FootnoteText"/>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490"/>
    <w:multiLevelType w:val="multilevel"/>
    <w:tmpl w:val="E49007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F03E7E"/>
    <w:multiLevelType w:val="multilevel"/>
    <w:tmpl w:val="9F9A7D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0MTQyNjMwNrM0MzZW0lEKTi0uzszPAykwqwUAMMfVHywAAAA="/>
  </w:docVars>
  <w:rsids>
    <w:rsidRoot w:val="00E107B9"/>
    <w:rsid w:val="00042E44"/>
    <w:rsid w:val="00076C2A"/>
    <w:rsid w:val="000778E6"/>
    <w:rsid w:val="000802B9"/>
    <w:rsid w:val="0009180C"/>
    <w:rsid w:val="000957EE"/>
    <w:rsid w:val="00096686"/>
    <w:rsid w:val="000E086B"/>
    <w:rsid w:val="000F7C7A"/>
    <w:rsid w:val="00106C2C"/>
    <w:rsid w:val="001126D4"/>
    <w:rsid w:val="00117204"/>
    <w:rsid w:val="0013486D"/>
    <w:rsid w:val="0017415C"/>
    <w:rsid w:val="00187464"/>
    <w:rsid w:val="00190C16"/>
    <w:rsid w:val="001A7D3A"/>
    <w:rsid w:val="001B4E02"/>
    <w:rsid w:val="001E0F42"/>
    <w:rsid w:val="001F32B5"/>
    <w:rsid w:val="001F69B4"/>
    <w:rsid w:val="00224AC2"/>
    <w:rsid w:val="00226A85"/>
    <w:rsid w:val="002446DD"/>
    <w:rsid w:val="00246157"/>
    <w:rsid w:val="00246313"/>
    <w:rsid w:val="002619CA"/>
    <w:rsid w:val="002847B0"/>
    <w:rsid w:val="002859FA"/>
    <w:rsid w:val="002A6F8A"/>
    <w:rsid w:val="002B3CC3"/>
    <w:rsid w:val="002B4CEE"/>
    <w:rsid w:val="002E0454"/>
    <w:rsid w:val="00301FB9"/>
    <w:rsid w:val="00303C8F"/>
    <w:rsid w:val="00306AC1"/>
    <w:rsid w:val="00337841"/>
    <w:rsid w:val="003412BF"/>
    <w:rsid w:val="0034302F"/>
    <w:rsid w:val="003565CC"/>
    <w:rsid w:val="00356D1B"/>
    <w:rsid w:val="003605EE"/>
    <w:rsid w:val="00367048"/>
    <w:rsid w:val="00383519"/>
    <w:rsid w:val="00386C8B"/>
    <w:rsid w:val="00396F63"/>
    <w:rsid w:val="003C1EE8"/>
    <w:rsid w:val="003D121A"/>
    <w:rsid w:val="003D3DD9"/>
    <w:rsid w:val="0042096C"/>
    <w:rsid w:val="00432DFC"/>
    <w:rsid w:val="0043327D"/>
    <w:rsid w:val="00437179"/>
    <w:rsid w:val="00445EA6"/>
    <w:rsid w:val="00453B06"/>
    <w:rsid w:val="004736C2"/>
    <w:rsid w:val="0047534F"/>
    <w:rsid w:val="004763A8"/>
    <w:rsid w:val="004818DE"/>
    <w:rsid w:val="00483A91"/>
    <w:rsid w:val="00484205"/>
    <w:rsid w:val="00494834"/>
    <w:rsid w:val="004A4261"/>
    <w:rsid w:val="004A579B"/>
    <w:rsid w:val="004B4A1C"/>
    <w:rsid w:val="004E74AB"/>
    <w:rsid w:val="00520366"/>
    <w:rsid w:val="005528DA"/>
    <w:rsid w:val="005534FC"/>
    <w:rsid w:val="005700E6"/>
    <w:rsid w:val="00591FC7"/>
    <w:rsid w:val="005925B3"/>
    <w:rsid w:val="005D554F"/>
    <w:rsid w:val="005E0EA1"/>
    <w:rsid w:val="005E412C"/>
    <w:rsid w:val="00606075"/>
    <w:rsid w:val="00613231"/>
    <w:rsid w:val="006168C5"/>
    <w:rsid w:val="00640690"/>
    <w:rsid w:val="00643404"/>
    <w:rsid w:val="00644196"/>
    <w:rsid w:val="0064462A"/>
    <w:rsid w:val="0066221A"/>
    <w:rsid w:val="006704A4"/>
    <w:rsid w:val="0067612A"/>
    <w:rsid w:val="0069092E"/>
    <w:rsid w:val="006A153E"/>
    <w:rsid w:val="006A1EA8"/>
    <w:rsid w:val="006A6DB9"/>
    <w:rsid w:val="006B73E8"/>
    <w:rsid w:val="006B7F49"/>
    <w:rsid w:val="006C5182"/>
    <w:rsid w:val="006D4AAD"/>
    <w:rsid w:val="006D5A01"/>
    <w:rsid w:val="006D7C0F"/>
    <w:rsid w:val="006E1A11"/>
    <w:rsid w:val="006F1973"/>
    <w:rsid w:val="006F3E07"/>
    <w:rsid w:val="006F56B5"/>
    <w:rsid w:val="00716798"/>
    <w:rsid w:val="007306E8"/>
    <w:rsid w:val="00733131"/>
    <w:rsid w:val="00736A4D"/>
    <w:rsid w:val="00741951"/>
    <w:rsid w:val="007472ED"/>
    <w:rsid w:val="0075110E"/>
    <w:rsid w:val="00752DC9"/>
    <w:rsid w:val="00763336"/>
    <w:rsid w:val="007741FA"/>
    <w:rsid w:val="0079608E"/>
    <w:rsid w:val="00797A6E"/>
    <w:rsid w:val="007B7939"/>
    <w:rsid w:val="007C4073"/>
    <w:rsid w:val="007C5DEA"/>
    <w:rsid w:val="007E0B2E"/>
    <w:rsid w:val="007E3307"/>
    <w:rsid w:val="007E5C8C"/>
    <w:rsid w:val="00800FBB"/>
    <w:rsid w:val="00816F12"/>
    <w:rsid w:val="00831E62"/>
    <w:rsid w:val="008320C9"/>
    <w:rsid w:val="00847869"/>
    <w:rsid w:val="00850110"/>
    <w:rsid w:val="0085615E"/>
    <w:rsid w:val="008971FF"/>
    <w:rsid w:val="008A214A"/>
    <w:rsid w:val="008C1831"/>
    <w:rsid w:val="008D12B0"/>
    <w:rsid w:val="008E543B"/>
    <w:rsid w:val="008F0F2E"/>
    <w:rsid w:val="00905AFE"/>
    <w:rsid w:val="00906383"/>
    <w:rsid w:val="009200B6"/>
    <w:rsid w:val="009229BC"/>
    <w:rsid w:val="009702A4"/>
    <w:rsid w:val="009720A1"/>
    <w:rsid w:val="00982A95"/>
    <w:rsid w:val="00982B40"/>
    <w:rsid w:val="0099008E"/>
    <w:rsid w:val="009A14A3"/>
    <w:rsid w:val="009B1DB6"/>
    <w:rsid w:val="009B4C8B"/>
    <w:rsid w:val="009B5AF2"/>
    <w:rsid w:val="009C2252"/>
    <w:rsid w:val="009D71D7"/>
    <w:rsid w:val="009E288E"/>
    <w:rsid w:val="009E2A7E"/>
    <w:rsid w:val="009F1C9E"/>
    <w:rsid w:val="00A44757"/>
    <w:rsid w:val="00A54CB2"/>
    <w:rsid w:val="00A55B28"/>
    <w:rsid w:val="00A71262"/>
    <w:rsid w:val="00A74DF8"/>
    <w:rsid w:val="00AD34A1"/>
    <w:rsid w:val="00AD63D2"/>
    <w:rsid w:val="00AD7271"/>
    <w:rsid w:val="00AD7F21"/>
    <w:rsid w:val="00AE0B91"/>
    <w:rsid w:val="00AF0681"/>
    <w:rsid w:val="00B00DE9"/>
    <w:rsid w:val="00B07651"/>
    <w:rsid w:val="00B108A5"/>
    <w:rsid w:val="00B15732"/>
    <w:rsid w:val="00B20300"/>
    <w:rsid w:val="00B31AE5"/>
    <w:rsid w:val="00B55D1A"/>
    <w:rsid w:val="00B744F7"/>
    <w:rsid w:val="00B80B35"/>
    <w:rsid w:val="00B83200"/>
    <w:rsid w:val="00B86CD3"/>
    <w:rsid w:val="00B8787C"/>
    <w:rsid w:val="00B9187B"/>
    <w:rsid w:val="00B92F20"/>
    <w:rsid w:val="00BA459B"/>
    <w:rsid w:val="00BC3893"/>
    <w:rsid w:val="00BC4398"/>
    <w:rsid w:val="00BC4560"/>
    <w:rsid w:val="00BC5AF0"/>
    <w:rsid w:val="00BD09E3"/>
    <w:rsid w:val="00BD7546"/>
    <w:rsid w:val="00BF6700"/>
    <w:rsid w:val="00C10FEA"/>
    <w:rsid w:val="00C22D4B"/>
    <w:rsid w:val="00C24646"/>
    <w:rsid w:val="00C25E78"/>
    <w:rsid w:val="00C307F0"/>
    <w:rsid w:val="00C405E5"/>
    <w:rsid w:val="00C64298"/>
    <w:rsid w:val="00C80229"/>
    <w:rsid w:val="00CA21A9"/>
    <w:rsid w:val="00CB37CC"/>
    <w:rsid w:val="00CC07F9"/>
    <w:rsid w:val="00CD5A8E"/>
    <w:rsid w:val="00CD7292"/>
    <w:rsid w:val="00CE4EFB"/>
    <w:rsid w:val="00CF297A"/>
    <w:rsid w:val="00D1123A"/>
    <w:rsid w:val="00D23F1F"/>
    <w:rsid w:val="00D27C14"/>
    <w:rsid w:val="00D4121F"/>
    <w:rsid w:val="00D52380"/>
    <w:rsid w:val="00DA292D"/>
    <w:rsid w:val="00DA3F9B"/>
    <w:rsid w:val="00DC0573"/>
    <w:rsid w:val="00DC3795"/>
    <w:rsid w:val="00DC4068"/>
    <w:rsid w:val="00DE46D2"/>
    <w:rsid w:val="00E107B9"/>
    <w:rsid w:val="00E13C20"/>
    <w:rsid w:val="00E24783"/>
    <w:rsid w:val="00E334FD"/>
    <w:rsid w:val="00E363CC"/>
    <w:rsid w:val="00E47FCF"/>
    <w:rsid w:val="00E54036"/>
    <w:rsid w:val="00E61921"/>
    <w:rsid w:val="00E634A4"/>
    <w:rsid w:val="00E7625B"/>
    <w:rsid w:val="00EB252F"/>
    <w:rsid w:val="00EC38C9"/>
    <w:rsid w:val="00EC777F"/>
    <w:rsid w:val="00EE6D0C"/>
    <w:rsid w:val="00EE7A7B"/>
    <w:rsid w:val="00EF3DA6"/>
    <w:rsid w:val="00EF64E8"/>
    <w:rsid w:val="00F04A18"/>
    <w:rsid w:val="00F13E32"/>
    <w:rsid w:val="00F14E48"/>
    <w:rsid w:val="00F2159B"/>
    <w:rsid w:val="00F23457"/>
    <w:rsid w:val="00F2543F"/>
    <w:rsid w:val="00F2715F"/>
    <w:rsid w:val="00F35B6F"/>
    <w:rsid w:val="00F36F2D"/>
    <w:rsid w:val="00F5406B"/>
    <w:rsid w:val="00F544ED"/>
    <w:rsid w:val="00F66339"/>
    <w:rsid w:val="00FA14C6"/>
    <w:rsid w:val="00FB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E0BB"/>
  <w15:chartTrackingRefBased/>
  <w15:docId w15:val="{0E1C4627-3BCD-4872-8943-50991872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107B9"/>
    <w:pPr>
      <w:spacing w:line="240" w:lineRule="auto"/>
    </w:pPr>
    <w:rPr>
      <w:sz w:val="20"/>
      <w:szCs w:val="20"/>
    </w:rPr>
  </w:style>
  <w:style w:type="character" w:customStyle="1" w:styleId="CommentTextChar">
    <w:name w:val="Comment Text Char"/>
    <w:basedOn w:val="DefaultParagraphFont"/>
    <w:link w:val="CommentText"/>
    <w:uiPriority w:val="99"/>
    <w:rsid w:val="00E107B9"/>
    <w:rPr>
      <w:sz w:val="20"/>
      <w:szCs w:val="20"/>
    </w:rPr>
  </w:style>
  <w:style w:type="character" w:styleId="CommentReference">
    <w:name w:val="annotation reference"/>
    <w:basedOn w:val="DefaultParagraphFont"/>
    <w:uiPriority w:val="99"/>
    <w:semiHidden/>
    <w:unhideWhenUsed/>
    <w:rsid w:val="00E107B9"/>
    <w:rPr>
      <w:sz w:val="16"/>
      <w:szCs w:val="16"/>
    </w:rPr>
  </w:style>
  <w:style w:type="paragraph" w:styleId="BalloonText">
    <w:name w:val="Balloon Text"/>
    <w:basedOn w:val="Normal"/>
    <w:link w:val="BalloonTextChar"/>
    <w:uiPriority w:val="99"/>
    <w:semiHidden/>
    <w:unhideWhenUsed/>
    <w:rsid w:val="00E10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B9"/>
    <w:rPr>
      <w:rFonts w:ascii="Segoe UI" w:hAnsi="Segoe UI" w:cs="Segoe UI"/>
      <w:sz w:val="18"/>
      <w:szCs w:val="18"/>
    </w:rPr>
  </w:style>
  <w:style w:type="character" w:styleId="Hyperlink">
    <w:name w:val="Hyperlink"/>
    <w:basedOn w:val="DefaultParagraphFont"/>
    <w:uiPriority w:val="99"/>
    <w:unhideWhenUsed/>
    <w:rsid w:val="00E107B9"/>
    <w:rPr>
      <w:color w:val="0563C1" w:themeColor="hyperlink"/>
      <w:u w:val="single"/>
    </w:rPr>
  </w:style>
  <w:style w:type="paragraph" w:styleId="FootnoteText">
    <w:name w:val="footnote text"/>
    <w:basedOn w:val="Normal"/>
    <w:link w:val="FootnoteTextChar"/>
    <w:uiPriority w:val="99"/>
    <w:unhideWhenUsed/>
    <w:rsid w:val="00E107B9"/>
    <w:pPr>
      <w:spacing w:after="0" w:line="240" w:lineRule="auto"/>
    </w:pPr>
    <w:rPr>
      <w:sz w:val="20"/>
      <w:szCs w:val="20"/>
    </w:rPr>
  </w:style>
  <w:style w:type="character" w:customStyle="1" w:styleId="FootnoteTextChar">
    <w:name w:val="Footnote Text Char"/>
    <w:basedOn w:val="DefaultParagraphFont"/>
    <w:link w:val="FootnoteText"/>
    <w:uiPriority w:val="99"/>
    <w:rsid w:val="00E107B9"/>
    <w:rPr>
      <w:sz w:val="20"/>
      <w:szCs w:val="20"/>
    </w:rPr>
  </w:style>
  <w:style w:type="character" w:styleId="FootnoteReference">
    <w:name w:val="footnote reference"/>
    <w:basedOn w:val="DefaultParagraphFont"/>
    <w:uiPriority w:val="99"/>
    <w:semiHidden/>
    <w:unhideWhenUsed/>
    <w:rsid w:val="00E107B9"/>
    <w:rPr>
      <w:vertAlign w:val="superscript"/>
    </w:rPr>
  </w:style>
  <w:style w:type="table" w:styleId="TableGrid">
    <w:name w:val="Table Grid"/>
    <w:basedOn w:val="TableNormal"/>
    <w:uiPriority w:val="39"/>
    <w:rsid w:val="00E1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107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107B9"/>
    <w:pPr>
      <w:ind w:left="720"/>
      <w:contextualSpacing/>
    </w:pPr>
  </w:style>
  <w:style w:type="paragraph" w:styleId="CommentSubject">
    <w:name w:val="annotation subject"/>
    <w:basedOn w:val="CommentText"/>
    <w:next w:val="CommentText"/>
    <w:link w:val="CommentSubjectChar"/>
    <w:uiPriority w:val="99"/>
    <w:semiHidden/>
    <w:unhideWhenUsed/>
    <w:rsid w:val="00453B06"/>
    <w:rPr>
      <w:b/>
      <w:bCs/>
    </w:rPr>
  </w:style>
  <w:style w:type="character" w:customStyle="1" w:styleId="CommentSubjectChar">
    <w:name w:val="Comment Subject Char"/>
    <w:basedOn w:val="CommentTextChar"/>
    <w:link w:val="CommentSubject"/>
    <w:uiPriority w:val="99"/>
    <w:semiHidden/>
    <w:rsid w:val="00453B06"/>
    <w:rPr>
      <w:b/>
      <w:bCs/>
      <w:sz w:val="20"/>
      <w:szCs w:val="20"/>
    </w:rPr>
  </w:style>
  <w:style w:type="paragraph" w:styleId="Header">
    <w:name w:val="header"/>
    <w:basedOn w:val="Normal"/>
    <w:link w:val="HeaderChar"/>
    <w:uiPriority w:val="99"/>
    <w:unhideWhenUsed/>
    <w:rsid w:val="004B4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1C"/>
  </w:style>
  <w:style w:type="paragraph" w:styleId="Footer">
    <w:name w:val="footer"/>
    <w:basedOn w:val="Normal"/>
    <w:link w:val="FooterChar"/>
    <w:uiPriority w:val="99"/>
    <w:unhideWhenUsed/>
    <w:rsid w:val="004B4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080">
      <w:bodyDiv w:val="1"/>
      <w:marLeft w:val="0"/>
      <w:marRight w:val="0"/>
      <w:marTop w:val="0"/>
      <w:marBottom w:val="0"/>
      <w:divBdr>
        <w:top w:val="none" w:sz="0" w:space="0" w:color="auto"/>
        <w:left w:val="none" w:sz="0" w:space="0" w:color="auto"/>
        <w:bottom w:val="none" w:sz="0" w:space="0" w:color="auto"/>
        <w:right w:val="none" w:sz="0" w:space="0" w:color="auto"/>
      </w:divBdr>
    </w:div>
    <w:div w:id="16986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irc.org/files/upload/documents/MODA_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1FDF-D39E-4630-8080-2015E912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11404</Words>
  <Characters>65007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Ronzani</dc:creator>
  <cp:keywords/>
  <dc:description/>
  <cp:lastModifiedBy>BANDOLA Justyna</cp:lastModifiedBy>
  <cp:revision>2</cp:revision>
  <dcterms:created xsi:type="dcterms:W3CDTF">2020-09-06T18:35:00Z</dcterms:created>
  <dcterms:modified xsi:type="dcterms:W3CDTF">2020-09-06T18:35:00Z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6491356f-97bd-3bc5-92ff-728082a91f44</vt:lpwstr>
  </property>
  <property fmtid="{D5CDD505-2E9C-101B-9397-08002B2CF9AE}" pid="24" name="Mendeley Citation Style_1">
    <vt:lpwstr>http://www.zotero.org/styles/apa</vt:lpwstr>
  </property>
</Properties>
</file>